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87" w:rsidRDefault="00F23E7A" w:rsidP="000A1A87">
      <w:pPr>
        <w:ind w:firstLine="708"/>
        <w:rPr>
          <w:rFonts w:ascii="Palatino Linotype" w:hAnsi="Palatino Linotype"/>
          <w:sz w:val="20"/>
        </w:rPr>
      </w:pPr>
      <w:r w:rsidRPr="00F23E7A">
        <w:rPr>
          <w:rFonts w:ascii="Palatino Linotype" w:hAnsi="Palatino Linotype"/>
          <w:b/>
          <w:color w:val="548DD4" w:themeColor="text2" w:themeTint="99"/>
          <w:sz w:val="36"/>
          <w:szCs w:val="36"/>
        </w:rPr>
        <w:t>Directrices Presupuestación Descentralizada</w:t>
      </w:r>
    </w:p>
    <w:p w:rsidR="00607276" w:rsidRDefault="00607276" w:rsidP="00607276">
      <w:pPr>
        <w:pBdr>
          <w:top w:val="single" w:sz="4" w:space="1" w:color="auto"/>
          <w:left w:val="single" w:sz="4" w:space="4" w:color="auto"/>
          <w:bottom w:val="single" w:sz="4" w:space="1" w:color="auto"/>
          <w:right w:val="single" w:sz="4" w:space="4" w:color="auto"/>
        </w:pBdr>
        <w:ind w:left="284" w:firstLine="0"/>
        <w:rPr>
          <w:rFonts w:ascii="Palatino Linotype" w:hAnsi="Palatino Linotype"/>
          <w:sz w:val="20"/>
        </w:rPr>
      </w:pPr>
      <w:r>
        <w:rPr>
          <w:rFonts w:ascii="Palatino Linotype" w:hAnsi="Palatino Linotype"/>
          <w:sz w:val="20"/>
        </w:rPr>
        <w:t>1.- Previsiones de Gastos y Objetivos</w:t>
      </w:r>
      <w:r>
        <w:rPr>
          <w:rFonts w:ascii="Palatino Linotype" w:hAnsi="Palatino Linotype"/>
          <w:color w:val="E36C0A" w:themeColor="accent6" w:themeShade="BF"/>
          <w:sz w:val="20"/>
        </w:rPr>
        <w:t xml:space="preserve"> </w:t>
      </w:r>
    </w:p>
    <w:p w:rsidR="00607276" w:rsidRDefault="00607276" w:rsidP="00607276">
      <w:pPr>
        <w:pStyle w:val="Prrafodelista"/>
        <w:ind w:left="426" w:firstLine="0"/>
        <w:rPr>
          <w:rFonts w:ascii="Palatino Linotype" w:hAnsi="Palatino Linotype"/>
          <w:sz w:val="20"/>
        </w:rPr>
      </w:pPr>
      <w:r>
        <w:rPr>
          <w:rFonts w:ascii="Palatino Linotype" w:hAnsi="Palatino Linotype"/>
          <w:b/>
          <w:color w:val="000000" w:themeColor="text1"/>
          <w:sz w:val="22"/>
          <w:szCs w:val="22"/>
        </w:rPr>
        <w:t xml:space="preserve">1.1. Gastos de Funcionamiento (Capítulo 2) – </w:t>
      </w:r>
      <w:r>
        <w:rPr>
          <w:rFonts w:ascii="Palatino Linotype" w:hAnsi="Palatino Linotype"/>
          <w:b/>
          <w:color w:val="808080" w:themeColor="background1" w:themeShade="80"/>
          <w:sz w:val="22"/>
          <w:szCs w:val="22"/>
        </w:rPr>
        <w:t>Ficha 1:</w:t>
      </w:r>
      <w:r>
        <w:rPr>
          <w:rFonts w:ascii="Palatino Linotype" w:hAnsi="Palatino Linotype"/>
          <w:color w:val="808080" w:themeColor="background1" w:themeShade="80"/>
          <w:sz w:val="20"/>
        </w:rPr>
        <w:t xml:space="preserve">  </w:t>
      </w:r>
      <w:r>
        <w:rPr>
          <w:rFonts w:ascii="Palatino Linotype" w:hAnsi="Palatino Linotype"/>
          <w:sz w:val="20"/>
        </w:rPr>
        <w:t xml:space="preserve">Para conseguir que los gastos de funcionamiento de la Universidad se ajusten a la financiación global que tiene prevista recibir la Universidad en el próximo ejercicio, se mantendrá el </w:t>
      </w:r>
      <w:r>
        <w:rPr>
          <w:rFonts w:ascii="Palatino Linotype" w:hAnsi="Palatino Linotype"/>
          <w:i/>
          <w:sz w:val="20"/>
        </w:rPr>
        <w:t>Plan de racionalización del gasto</w:t>
      </w:r>
      <w:r>
        <w:rPr>
          <w:rFonts w:ascii="Palatino Linotype" w:hAnsi="Palatino Linotype"/>
          <w:sz w:val="20"/>
        </w:rPr>
        <w:t xml:space="preserve"> iniciado en los ejercicios anteriores, incorporando el modelo de incentivos a la gestión eficiente del ahorro en gastos de funcionamiento y recursos, en aplicación del  </w:t>
      </w:r>
      <w:r>
        <w:rPr>
          <w:rFonts w:ascii="Palatino Linotype" w:hAnsi="Palatino Linotype"/>
          <w:i/>
          <w:sz w:val="20"/>
        </w:rPr>
        <w:t>Modelo de Presupuestación por Resultados (Eficiencia en la Presupuestación)</w:t>
      </w:r>
      <w:r>
        <w:rPr>
          <w:rFonts w:ascii="Palatino Linotype" w:hAnsi="Palatino Linotype"/>
          <w:sz w:val="20"/>
        </w:rPr>
        <w:t>;  que se basa en los siguientes criterios:</w:t>
      </w:r>
    </w:p>
    <w:p w:rsidR="00607276" w:rsidRDefault="00607276" w:rsidP="00607276">
      <w:pPr>
        <w:pStyle w:val="Prrafodelista"/>
        <w:ind w:left="426" w:firstLine="0"/>
        <w:rPr>
          <w:rFonts w:ascii="Palatino Linotype" w:hAnsi="Palatino Linotype"/>
          <w:sz w:val="20"/>
        </w:rPr>
      </w:pPr>
    </w:p>
    <w:p w:rsidR="00607276" w:rsidRDefault="00607276" w:rsidP="00607276">
      <w:pPr>
        <w:pStyle w:val="Prrafodelista"/>
        <w:ind w:left="709" w:firstLine="0"/>
        <w:rPr>
          <w:rFonts w:ascii="Palatino Linotype" w:hAnsi="Palatino Linotype"/>
          <w:sz w:val="20"/>
        </w:rPr>
      </w:pPr>
      <w:r w:rsidRPr="00607276">
        <w:rPr>
          <w:rFonts w:ascii="Palatino Linotype" w:hAnsi="Palatino Linotype"/>
          <w:b/>
          <w:sz w:val="20"/>
        </w:rPr>
        <w:t>a.1)</w:t>
      </w:r>
      <w:r w:rsidRPr="00607276">
        <w:rPr>
          <w:rFonts w:ascii="Palatino Linotype" w:hAnsi="Palatino Linotype"/>
          <w:b/>
          <w:sz w:val="20"/>
        </w:rPr>
        <w:tab/>
        <w:t xml:space="preserve">Gastos de Funcionamiento de las Unidades Orgánicas, </w:t>
      </w:r>
      <w:r>
        <w:rPr>
          <w:rFonts w:ascii="Palatino Linotype" w:hAnsi="Palatino Linotype"/>
          <w:b/>
          <w:sz w:val="20"/>
        </w:rPr>
        <w:t>Económica 24900</w:t>
      </w:r>
      <w:r w:rsidRPr="00607276">
        <w:rPr>
          <w:rFonts w:ascii="Palatino Linotype" w:hAnsi="Palatino Linotype"/>
          <w:b/>
          <w:sz w:val="20"/>
        </w:rPr>
        <w:t>:</w:t>
      </w:r>
      <w:r>
        <w:rPr>
          <w:rFonts w:ascii="Palatino Linotype" w:hAnsi="Palatino Linotype"/>
          <w:sz w:val="20"/>
        </w:rPr>
        <w:t xml:space="preserve"> </w:t>
      </w:r>
    </w:p>
    <w:p w:rsidR="00607276" w:rsidRDefault="00607276" w:rsidP="00607276">
      <w:pPr>
        <w:pStyle w:val="Prrafodelista"/>
        <w:numPr>
          <w:ilvl w:val="0"/>
          <w:numId w:val="14"/>
        </w:numPr>
        <w:rPr>
          <w:rFonts w:ascii="Palatino Linotype" w:hAnsi="Palatino Linotype"/>
          <w:color w:val="808080" w:themeColor="background1" w:themeShade="80"/>
          <w:sz w:val="20"/>
          <w:u w:val="single"/>
        </w:rPr>
      </w:pPr>
      <w:r>
        <w:rPr>
          <w:rFonts w:ascii="Palatino Linotype" w:hAnsi="Palatino Linotype"/>
          <w:color w:val="808080" w:themeColor="background1" w:themeShade="80"/>
          <w:sz w:val="20"/>
          <w:u w:val="single"/>
        </w:rPr>
        <w:t>Órganos de Gobierno y Representación (Oficina del Rector, Secretaría General, Gerencia, Defensor Universitario, y Vicerrectorados):</w:t>
      </w:r>
    </w:p>
    <w:p w:rsidR="00607276" w:rsidRDefault="00607276" w:rsidP="00607276">
      <w:pPr>
        <w:pStyle w:val="Prrafodelista"/>
        <w:numPr>
          <w:ilvl w:val="1"/>
          <w:numId w:val="14"/>
        </w:numPr>
        <w:rPr>
          <w:rFonts w:ascii="Palatino Linotype" w:hAnsi="Palatino Linotype"/>
          <w:sz w:val="20"/>
        </w:rPr>
      </w:pPr>
      <w:r>
        <w:rPr>
          <w:rFonts w:ascii="Palatino Linotype" w:hAnsi="Palatino Linotype"/>
          <w:sz w:val="20"/>
        </w:rPr>
        <w:t xml:space="preserve"> </w:t>
      </w:r>
      <w:r>
        <w:rPr>
          <w:rFonts w:ascii="Palatino Linotype" w:hAnsi="Palatino Linotype"/>
          <w:b/>
          <w:sz w:val="20"/>
        </w:rPr>
        <w:t>Asignación Directa para Gastos de Funcionamiento:</w:t>
      </w:r>
      <w:r>
        <w:rPr>
          <w:rFonts w:ascii="Palatino Linotype" w:hAnsi="Palatino Linotype"/>
          <w:sz w:val="20"/>
        </w:rPr>
        <w:t xml:space="preserve"> La dotación presupuestaria para gastos de funcionamiento se asignará directamente por la Comisión de Presupuestos, en atención a la ejecución presupuestaria del ejercicio anterior.</w:t>
      </w:r>
    </w:p>
    <w:p w:rsidR="00607276" w:rsidRDefault="00607276" w:rsidP="00607276">
      <w:pPr>
        <w:pStyle w:val="Prrafodelista"/>
        <w:numPr>
          <w:ilvl w:val="1"/>
          <w:numId w:val="14"/>
        </w:numPr>
        <w:rPr>
          <w:rFonts w:ascii="Palatino Linotype" w:hAnsi="Palatino Linotype"/>
          <w:sz w:val="20"/>
        </w:rPr>
      </w:pPr>
      <w:r>
        <w:rPr>
          <w:rFonts w:ascii="Palatino Linotype" w:hAnsi="Palatino Linotype"/>
          <w:b/>
          <w:sz w:val="20"/>
        </w:rPr>
        <w:t>Dotación para la Mejora en Gestión Administrativa:</w:t>
      </w:r>
      <w:r>
        <w:rPr>
          <w:rFonts w:ascii="Palatino Linotype" w:hAnsi="Palatino Linotype"/>
          <w:sz w:val="20"/>
        </w:rPr>
        <w:t xml:space="preserve"> en aplicación del Incentivo al ahorro en gastos de funcionamiento que se recoge en el Modelo de Presupuestación por Resultados, podrán solicitarse nuevas líneas específicas a desarrollar en el ejercicio </w:t>
      </w:r>
      <w:r w:rsidR="00B327B6">
        <w:rPr>
          <w:rFonts w:ascii="Palatino Linotype" w:hAnsi="Palatino Linotype"/>
          <w:sz w:val="20"/>
        </w:rPr>
        <w:t>20</w:t>
      </w:r>
      <w:r w:rsidR="00551D37">
        <w:rPr>
          <w:rFonts w:ascii="Palatino Linotype" w:hAnsi="Palatino Linotype"/>
          <w:sz w:val="20"/>
        </w:rPr>
        <w:t>20</w:t>
      </w:r>
      <w:r>
        <w:rPr>
          <w:rFonts w:ascii="Palatino Linotype" w:hAnsi="Palatino Linotype"/>
          <w:sz w:val="20"/>
        </w:rPr>
        <w:t>. (Ficha 1).</w:t>
      </w:r>
    </w:p>
    <w:p w:rsidR="00607276" w:rsidRDefault="00607276" w:rsidP="00607276">
      <w:pPr>
        <w:pStyle w:val="Prrafodelista"/>
        <w:numPr>
          <w:ilvl w:val="0"/>
          <w:numId w:val="14"/>
        </w:numPr>
        <w:rPr>
          <w:rFonts w:ascii="Palatino Linotype" w:hAnsi="Palatino Linotype"/>
          <w:sz w:val="20"/>
        </w:rPr>
      </w:pPr>
      <w:r>
        <w:rPr>
          <w:rFonts w:ascii="Palatino Linotype" w:hAnsi="Palatino Linotype"/>
          <w:color w:val="808080" w:themeColor="background1" w:themeShade="80"/>
          <w:sz w:val="20"/>
          <w:u w:val="single"/>
        </w:rPr>
        <w:t>Servicios, Oficinas y Unidades Administrativas:</w:t>
      </w:r>
    </w:p>
    <w:p w:rsidR="00607276" w:rsidRDefault="00607276" w:rsidP="00607276">
      <w:pPr>
        <w:pStyle w:val="Prrafodelista"/>
        <w:ind w:left="1485" w:firstLine="0"/>
        <w:rPr>
          <w:rFonts w:ascii="Palatino Linotype" w:hAnsi="Palatino Linotype"/>
          <w:sz w:val="20"/>
        </w:rPr>
      </w:pPr>
      <w:r>
        <w:rPr>
          <w:rFonts w:ascii="Palatino Linotype" w:hAnsi="Palatino Linotype"/>
          <w:sz w:val="20"/>
        </w:rPr>
        <w:t xml:space="preserve">La asignación presupuestaria para el ejercicio </w:t>
      </w:r>
      <w:r w:rsidR="00B327B6">
        <w:rPr>
          <w:rFonts w:ascii="Palatino Linotype" w:hAnsi="Palatino Linotype"/>
          <w:sz w:val="20"/>
        </w:rPr>
        <w:t>20</w:t>
      </w:r>
      <w:r w:rsidR="00551D37">
        <w:rPr>
          <w:rFonts w:ascii="Palatino Linotype" w:hAnsi="Palatino Linotype"/>
          <w:sz w:val="20"/>
        </w:rPr>
        <w:t>20</w:t>
      </w:r>
      <w:r>
        <w:rPr>
          <w:rFonts w:ascii="Palatino Linotype" w:hAnsi="Palatino Linotype"/>
          <w:sz w:val="20"/>
        </w:rPr>
        <w:t xml:space="preserve"> para gastos de funcionamiento, vendrá determinada por las siguientes dotaciones: </w:t>
      </w:r>
    </w:p>
    <w:p w:rsidR="00607276" w:rsidRDefault="00607276" w:rsidP="00607276">
      <w:pPr>
        <w:pStyle w:val="Prrafodelista"/>
        <w:numPr>
          <w:ilvl w:val="0"/>
          <w:numId w:val="15"/>
        </w:numPr>
        <w:ind w:left="1985"/>
        <w:rPr>
          <w:rFonts w:ascii="Palatino Linotype" w:hAnsi="Palatino Linotype"/>
          <w:sz w:val="20"/>
        </w:rPr>
      </w:pPr>
      <w:r>
        <w:rPr>
          <w:rFonts w:ascii="Palatino Linotype" w:hAnsi="Palatino Linotype"/>
          <w:b/>
          <w:sz w:val="20"/>
        </w:rPr>
        <w:t>Asignación Óptima</w:t>
      </w:r>
      <w:r>
        <w:rPr>
          <w:rFonts w:ascii="Palatino Linotype" w:hAnsi="Palatino Linotype"/>
          <w:sz w:val="20"/>
        </w:rPr>
        <w:t>: En aplicación del Modelo de Eficiencia en la presupuestación, se dotará directamente por la Comisión de Presupuestos, una cantidad básica obtenida de la suma de dos conceptos:</w:t>
      </w:r>
    </w:p>
    <w:p w:rsidR="00607276" w:rsidRDefault="00607276" w:rsidP="00607276">
      <w:pPr>
        <w:pStyle w:val="Prrafodelista"/>
        <w:numPr>
          <w:ilvl w:val="0"/>
          <w:numId w:val="16"/>
        </w:numPr>
        <w:ind w:left="2268"/>
        <w:rPr>
          <w:rFonts w:ascii="Palatino Linotype" w:hAnsi="Palatino Linotype"/>
          <w:sz w:val="20"/>
        </w:rPr>
      </w:pPr>
      <w:r>
        <w:rPr>
          <w:rFonts w:ascii="Palatino Linotype" w:hAnsi="Palatino Linotype"/>
          <w:b/>
          <w:sz w:val="20"/>
        </w:rPr>
        <w:t>Módulo Fijo por Estructura</w:t>
      </w:r>
      <w:r>
        <w:rPr>
          <w:rFonts w:ascii="Palatino Linotype" w:hAnsi="Palatino Linotype"/>
          <w:sz w:val="20"/>
        </w:rPr>
        <w:t>: Cantidad fija por cada unidad orgánica (Servicio, Oficina o Unidad Administrativa).</w:t>
      </w:r>
    </w:p>
    <w:p w:rsidR="00607276" w:rsidRDefault="00607276" w:rsidP="00607276">
      <w:pPr>
        <w:pStyle w:val="Prrafodelista"/>
        <w:numPr>
          <w:ilvl w:val="0"/>
          <w:numId w:val="16"/>
        </w:numPr>
        <w:ind w:left="2268"/>
        <w:rPr>
          <w:rFonts w:ascii="Palatino Linotype" w:hAnsi="Palatino Linotype"/>
          <w:sz w:val="20"/>
        </w:rPr>
      </w:pPr>
      <w:r>
        <w:rPr>
          <w:rFonts w:ascii="Palatino Linotype" w:hAnsi="Palatino Linotype"/>
          <w:b/>
          <w:sz w:val="20"/>
        </w:rPr>
        <w:t>Módulo Óptimo por Efectivo:</w:t>
      </w:r>
      <w:r>
        <w:rPr>
          <w:rFonts w:ascii="Palatino Linotype" w:hAnsi="Palatino Linotype"/>
          <w:sz w:val="20"/>
        </w:rPr>
        <w:t xml:space="preserve"> Cantidad básica asignada por cada Efectivo que forme parte de la Unidad (Personal de Plantilla adscrito, que deberá indicarse en la Ficha 1). </w:t>
      </w:r>
    </w:p>
    <w:p w:rsidR="00607276" w:rsidRDefault="00607276" w:rsidP="00607276">
      <w:pPr>
        <w:pStyle w:val="Prrafodelista"/>
        <w:numPr>
          <w:ilvl w:val="0"/>
          <w:numId w:val="15"/>
        </w:numPr>
        <w:ind w:left="1985"/>
        <w:rPr>
          <w:rFonts w:ascii="Palatino Linotype" w:hAnsi="Palatino Linotype"/>
          <w:sz w:val="20"/>
          <w:lang w:val="es-ES"/>
        </w:rPr>
      </w:pPr>
      <w:r>
        <w:rPr>
          <w:rFonts w:ascii="Palatino Linotype" w:hAnsi="Palatino Linotype"/>
          <w:b/>
          <w:sz w:val="20"/>
          <w:lang w:val="es-ES"/>
        </w:rPr>
        <w:t>Asignación Específica</w:t>
      </w:r>
      <w:r>
        <w:rPr>
          <w:rFonts w:ascii="Palatino Linotype" w:hAnsi="Palatino Linotype"/>
          <w:sz w:val="20"/>
          <w:lang w:val="es-ES"/>
        </w:rPr>
        <w:t>: Deberá solicitarse motivadamente, según Ficha 1.</w:t>
      </w:r>
    </w:p>
    <w:p w:rsidR="00607276" w:rsidRDefault="00607276" w:rsidP="00607276">
      <w:pPr>
        <w:pStyle w:val="Prrafodelista"/>
        <w:numPr>
          <w:ilvl w:val="0"/>
          <w:numId w:val="17"/>
        </w:numPr>
        <w:ind w:left="2268"/>
        <w:rPr>
          <w:rFonts w:ascii="Palatino Linotype" w:hAnsi="Palatino Linotype"/>
          <w:sz w:val="20"/>
        </w:rPr>
      </w:pPr>
      <w:r>
        <w:rPr>
          <w:rFonts w:ascii="Palatino Linotype" w:hAnsi="Palatino Linotype"/>
          <w:b/>
          <w:sz w:val="20"/>
          <w:lang w:val="es-ES"/>
        </w:rPr>
        <w:t xml:space="preserve">Gastos de Funcionamiento Específicos: </w:t>
      </w:r>
      <w:r>
        <w:rPr>
          <w:rFonts w:ascii="Palatino Linotype" w:hAnsi="Palatino Linotype"/>
          <w:sz w:val="20"/>
          <w:lang w:val="es-ES"/>
        </w:rPr>
        <w:t>Aquellas Unidades Administrativas que, por su naturaleza, presenten necesidades de gastos específicos diferenciados de la asignación óptima anterior, podrán solicitar Asignación Específica.</w:t>
      </w:r>
    </w:p>
    <w:p w:rsidR="00607276" w:rsidRDefault="00607276" w:rsidP="00607276">
      <w:pPr>
        <w:pStyle w:val="Prrafodelista"/>
        <w:numPr>
          <w:ilvl w:val="0"/>
          <w:numId w:val="17"/>
        </w:numPr>
        <w:ind w:left="2268"/>
        <w:rPr>
          <w:rFonts w:ascii="Palatino Linotype" w:hAnsi="Palatino Linotype"/>
          <w:sz w:val="20"/>
        </w:rPr>
      </w:pPr>
      <w:r>
        <w:rPr>
          <w:rFonts w:ascii="Palatino Linotype" w:hAnsi="Palatino Linotype"/>
          <w:b/>
          <w:sz w:val="20"/>
          <w:lang w:val="es-ES"/>
        </w:rPr>
        <w:t>Dotación para la Mejora en la Gestión Administrativa:</w:t>
      </w:r>
      <w:r>
        <w:rPr>
          <w:rFonts w:ascii="Palatino Linotype" w:hAnsi="Palatino Linotype"/>
          <w:sz w:val="20"/>
        </w:rPr>
        <w:t xml:space="preserve"> En aplicación del Incentivo al ahorro en gastos de funcionamiento que se recoge en el Modelo de Presupuestación por Resultados, podrán solicitarse nuevas líneas específicas a desarrollar en el ejercicio </w:t>
      </w:r>
      <w:r w:rsidR="00B327B6">
        <w:rPr>
          <w:rFonts w:ascii="Palatino Linotype" w:hAnsi="Palatino Linotype"/>
          <w:sz w:val="20"/>
        </w:rPr>
        <w:t>20</w:t>
      </w:r>
      <w:r w:rsidR="00551D37">
        <w:rPr>
          <w:rFonts w:ascii="Palatino Linotype" w:hAnsi="Palatino Linotype"/>
          <w:sz w:val="20"/>
        </w:rPr>
        <w:t>20</w:t>
      </w:r>
      <w:r>
        <w:rPr>
          <w:rFonts w:ascii="Palatino Linotype" w:hAnsi="Palatino Linotype"/>
          <w:sz w:val="20"/>
        </w:rPr>
        <w:t>.</w:t>
      </w:r>
    </w:p>
    <w:p w:rsidR="00607276" w:rsidRDefault="00607276" w:rsidP="00607276">
      <w:pPr>
        <w:ind w:left="709" w:firstLine="0"/>
        <w:rPr>
          <w:rFonts w:ascii="Palatino Linotype" w:hAnsi="Palatino Linotype"/>
          <w:b/>
          <w:sz w:val="20"/>
        </w:rPr>
      </w:pPr>
    </w:p>
    <w:p w:rsidR="00607276" w:rsidRDefault="00607276" w:rsidP="00607276">
      <w:pPr>
        <w:ind w:left="709" w:firstLine="0"/>
        <w:rPr>
          <w:rFonts w:ascii="Palatino Linotype" w:hAnsi="Palatino Linotype"/>
          <w:sz w:val="20"/>
        </w:rPr>
      </w:pPr>
      <w:r w:rsidRPr="00607276">
        <w:rPr>
          <w:rFonts w:ascii="Palatino Linotype" w:hAnsi="Palatino Linotype"/>
          <w:b/>
          <w:sz w:val="20"/>
        </w:rPr>
        <w:t>a.2) Actividades Específicas a desarrollar por cada Unidad Orgánica</w:t>
      </w:r>
      <w:r>
        <w:rPr>
          <w:rFonts w:ascii="Palatino Linotype" w:hAnsi="Palatino Linotype"/>
          <w:b/>
          <w:sz w:val="20"/>
        </w:rPr>
        <w:t>, establecidas en líneas diferenciadas del Económico 24900</w:t>
      </w:r>
      <w:r w:rsidRPr="00607276">
        <w:rPr>
          <w:rFonts w:ascii="Palatino Linotype" w:hAnsi="Palatino Linotype"/>
          <w:b/>
          <w:sz w:val="20"/>
        </w:rPr>
        <w:t>:</w:t>
      </w:r>
      <w:r w:rsidRPr="00607276">
        <w:rPr>
          <w:rFonts w:ascii="Palatino Linotype" w:hAnsi="Palatino Linotype"/>
          <w:sz w:val="20"/>
        </w:rPr>
        <w:t xml:space="preserve"> </w:t>
      </w:r>
      <w:r>
        <w:rPr>
          <w:rFonts w:ascii="Palatino Linotype" w:hAnsi="Palatino Linotype"/>
          <w:sz w:val="20"/>
        </w:rPr>
        <w:t xml:space="preserve"> </w:t>
      </w:r>
      <w:r w:rsidRPr="00607276">
        <w:rPr>
          <w:rFonts w:ascii="Palatino Linotype" w:hAnsi="Palatino Linotype"/>
          <w:sz w:val="20"/>
        </w:rPr>
        <w:t xml:space="preserve">Se aplicará la metodología de elaboración presupuestaria de </w:t>
      </w:r>
      <w:r w:rsidRPr="00607276">
        <w:rPr>
          <w:rFonts w:ascii="Palatino Linotype" w:hAnsi="Palatino Linotype"/>
          <w:i/>
          <w:sz w:val="20"/>
        </w:rPr>
        <w:t>“Presupuesto en Base Cero”,</w:t>
      </w:r>
      <w:r w:rsidRPr="00607276">
        <w:rPr>
          <w:rFonts w:ascii="Palatino Linotype" w:hAnsi="Palatino Linotype"/>
          <w:sz w:val="20"/>
        </w:rPr>
        <w:t xml:space="preserve"> que exige a cada gestor justificar detalladamente la totalidad de sus peticiones presupuestarias, debiendo justificarse la necesidad de cada importe a gastar</w:t>
      </w:r>
      <w:r>
        <w:rPr>
          <w:rFonts w:ascii="Palatino Linotype" w:hAnsi="Palatino Linotype"/>
          <w:sz w:val="20"/>
        </w:rPr>
        <w:t xml:space="preserve">. </w:t>
      </w:r>
      <w:r w:rsidRPr="00607276">
        <w:rPr>
          <w:rFonts w:ascii="Palatino Linotype" w:hAnsi="Palatino Linotype"/>
          <w:sz w:val="20"/>
        </w:rPr>
        <w:t xml:space="preserve">El procedimiento debe identificar todas las actividades en grupos de decisión que son evaluados y ordenados según su prioridad, proyectando la previsión anual en el marco plurianual para la consecución de los </w:t>
      </w:r>
      <w:r w:rsidRPr="00607276">
        <w:rPr>
          <w:rFonts w:ascii="Palatino Linotype" w:hAnsi="Palatino Linotype"/>
          <w:sz w:val="20"/>
        </w:rPr>
        <w:lastRenderedPageBreak/>
        <w:t>objetivos fijados a conseguir, según las líneas fijadas, y de los resultados alcanzados en el ejercicio corriente, en el marco del Modelo de Presupuestación por Resultados.</w:t>
      </w:r>
    </w:p>
    <w:p w:rsidR="00607276" w:rsidRDefault="00607276" w:rsidP="00607276">
      <w:pPr>
        <w:tabs>
          <w:tab w:val="left" w:pos="993"/>
        </w:tabs>
        <w:ind w:left="708" w:firstLine="0"/>
        <w:rPr>
          <w:rFonts w:ascii="Palatino Linotype" w:hAnsi="Palatino Linotype"/>
          <w:sz w:val="20"/>
        </w:rPr>
      </w:pPr>
    </w:p>
    <w:p w:rsidR="00607276" w:rsidRDefault="00607276" w:rsidP="00607276">
      <w:pPr>
        <w:tabs>
          <w:tab w:val="left" w:pos="993"/>
        </w:tabs>
        <w:ind w:left="708" w:firstLine="0"/>
        <w:rPr>
          <w:rFonts w:ascii="Palatino Linotype" w:hAnsi="Palatino Linotype"/>
          <w:sz w:val="20"/>
        </w:rPr>
      </w:pPr>
      <w:r>
        <w:rPr>
          <w:rFonts w:ascii="Palatino Linotype" w:hAnsi="Palatino Linotype"/>
          <w:sz w:val="20"/>
        </w:rPr>
        <w:t>En el desarrollo de la implantación del “</w:t>
      </w:r>
      <w:r>
        <w:rPr>
          <w:rFonts w:ascii="Palatino Linotype" w:hAnsi="Palatino Linotype"/>
          <w:b/>
          <w:sz w:val="20"/>
        </w:rPr>
        <w:t xml:space="preserve">Presupuesto por Resultados”, </w:t>
      </w:r>
      <w:r>
        <w:rPr>
          <w:rFonts w:ascii="Palatino Linotype" w:hAnsi="Palatino Linotype"/>
          <w:sz w:val="20"/>
        </w:rPr>
        <w:t>se Evaluará el Desempeño en la gestión presupuestaria, relacionando los recursos que se asignan a los objetivos y actuaciones para los que se solicitan, con los resultados que efectivamente se consigan.</w:t>
      </w:r>
    </w:p>
    <w:p w:rsidR="00607276" w:rsidRDefault="00607276" w:rsidP="00607276">
      <w:pPr>
        <w:tabs>
          <w:tab w:val="left" w:pos="993"/>
        </w:tabs>
        <w:ind w:left="708" w:firstLine="0"/>
        <w:rPr>
          <w:rFonts w:ascii="Palatino Linotype" w:hAnsi="Palatino Linotype"/>
          <w:sz w:val="20"/>
        </w:rPr>
      </w:pPr>
    </w:p>
    <w:p w:rsidR="00607276" w:rsidRDefault="00607276" w:rsidP="00607276">
      <w:pPr>
        <w:tabs>
          <w:tab w:val="left" w:pos="993"/>
        </w:tabs>
        <w:ind w:left="708" w:firstLine="0"/>
        <w:rPr>
          <w:rFonts w:ascii="Palatino Linotype" w:hAnsi="Palatino Linotype"/>
          <w:sz w:val="20"/>
        </w:rPr>
      </w:pPr>
      <w:r>
        <w:rPr>
          <w:rFonts w:ascii="Palatino Linotype" w:hAnsi="Palatino Linotype"/>
          <w:sz w:val="20"/>
        </w:rPr>
        <w:t>De la combinación de ambas técnicas, se fija como techo de asignación máxima, el crédito inicial aprobado en el presupuesto del 20</w:t>
      </w:r>
      <w:r w:rsidR="00551D37">
        <w:rPr>
          <w:rFonts w:ascii="Palatino Linotype" w:hAnsi="Palatino Linotype"/>
          <w:sz w:val="20"/>
        </w:rPr>
        <w:t>19</w:t>
      </w:r>
      <w:r>
        <w:rPr>
          <w:rFonts w:ascii="Palatino Linotype" w:hAnsi="Palatino Linotype"/>
          <w:sz w:val="20"/>
        </w:rPr>
        <w:t xml:space="preserve"> en el conjunto de actividades específicas de su Unidad Orgánica, que limitará el importe total que podrá solicitar para actividades específicas (excluidos los gastos de funcionamiento), debiéndose aportar la Ficha 1 “Objetivos y Actuaciones” con el siguiente detalle:</w:t>
      </w:r>
    </w:p>
    <w:p w:rsidR="00607276" w:rsidRDefault="00607276" w:rsidP="00607276">
      <w:pPr>
        <w:pStyle w:val="Prrafodelista"/>
        <w:numPr>
          <w:ilvl w:val="1"/>
          <w:numId w:val="18"/>
        </w:numPr>
        <w:tabs>
          <w:tab w:val="left" w:pos="993"/>
        </w:tabs>
        <w:ind w:left="2148"/>
        <w:rPr>
          <w:rFonts w:ascii="Palatino Linotype" w:hAnsi="Palatino Linotype"/>
          <w:sz w:val="20"/>
        </w:rPr>
      </w:pPr>
      <w:r>
        <w:rPr>
          <w:rFonts w:ascii="Palatino Linotype" w:hAnsi="Palatino Linotype"/>
          <w:sz w:val="20"/>
        </w:rPr>
        <w:t>Informar de las principales variaciones experimentadas entre el ejercicio a presupuestar y el anterior, justificando adecuadamente las mismas.</w:t>
      </w:r>
    </w:p>
    <w:p w:rsidR="00607276" w:rsidRDefault="00607276" w:rsidP="00607276">
      <w:pPr>
        <w:pStyle w:val="Prrafodelista"/>
        <w:numPr>
          <w:ilvl w:val="1"/>
          <w:numId w:val="18"/>
        </w:numPr>
        <w:tabs>
          <w:tab w:val="left" w:pos="993"/>
        </w:tabs>
        <w:ind w:left="2148"/>
        <w:rPr>
          <w:rFonts w:ascii="Palatino Linotype" w:hAnsi="Palatino Linotype"/>
          <w:sz w:val="20"/>
        </w:rPr>
      </w:pPr>
      <w:r>
        <w:rPr>
          <w:rFonts w:ascii="Palatino Linotype" w:hAnsi="Palatino Linotype"/>
          <w:sz w:val="20"/>
        </w:rPr>
        <w:t xml:space="preserve">Relacionar los </w:t>
      </w:r>
      <w:r>
        <w:rPr>
          <w:rFonts w:ascii="Palatino Linotype" w:hAnsi="Palatino Linotype"/>
          <w:b/>
          <w:sz w:val="20"/>
        </w:rPr>
        <w:t>Resultados conseguidos</w:t>
      </w:r>
      <w:r>
        <w:rPr>
          <w:rFonts w:ascii="Palatino Linotype" w:hAnsi="Palatino Linotype"/>
          <w:sz w:val="20"/>
        </w:rPr>
        <w:t xml:space="preserve"> a fecha actual, sobre los objetivos establecidos en el ejercicio inmediato anterior, así como la planificación de los objetivos y actuaciones a desarrollar en el próximo ejercicio, priorizadas en atención a la importancia de los objetivos, estableciendo metas a conseguir, e indicadores que faciliten la medición del resultado conseguido.</w:t>
      </w:r>
    </w:p>
    <w:p w:rsidR="00607276" w:rsidRDefault="00607276" w:rsidP="00607276">
      <w:pPr>
        <w:pStyle w:val="Prrafodelista"/>
        <w:ind w:left="709" w:firstLine="0"/>
        <w:rPr>
          <w:rFonts w:ascii="Palatino Linotype" w:hAnsi="Palatino Linotype"/>
          <w:sz w:val="20"/>
        </w:rPr>
      </w:pPr>
    </w:p>
    <w:p w:rsidR="00607276" w:rsidRDefault="00607276" w:rsidP="00607276">
      <w:pPr>
        <w:ind w:left="426" w:firstLine="0"/>
        <w:rPr>
          <w:sz w:val="20"/>
          <w:lang w:val="es-ES_tradnl"/>
        </w:rPr>
      </w:pPr>
      <w:r>
        <w:t>1.2.</w:t>
      </w:r>
      <w:r w:rsidRPr="00607276">
        <w:rPr>
          <w:rFonts w:ascii="Palatino Linotype" w:hAnsi="Palatino Linotype"/>
          <w:b/>
          <w:color w:val="000000" w:themeColor="text1"/>
          <w:sz w:val="22"/>
          <w:szCs w:val="22"/>
          <w:lang w:val="es-ES_tradnl"/>
        </w:rPr>
        <w:t xml:space="preserve"> Transferencias Corrientes y de Capital (Capítulos 4 y 7)</w:t>
      </w:r>
      <w:r>
        <w:rPr>
          <w:rFonts w:ascii="Palatino Linotype" w:hAnsi="Palatino Linotype"/>
          <w:b/>
          <w:color w:val="000000" w:themeColor="text1"/>
          <w:sz w:val="22"/>
          <w:szCs w:val="22"/>
          <w:lang w:val="es-ES_tradnl"/>
        </w:rPr>
        <w:t>-</w:t>
      </w:r>
      <w:r>
        <w:rPr>
          <w:rFonts w:ascii="Palatino Linotype" w:hAnsi="Palatino Linotype"/>
          <w:b/>
          <w:color w:val="808080" w:themeColor="background1" w:themeShade="80"/>
          <w:sz w:val="22"/>
          <w:szCs w:val="22"/>
          <w:lang w:val="es-ES_tradnl"/>
        </w:rPr>
        <w:t>Ficha 6</w:t>
      </w:r>
      <w:r w:rsidRPr="00607276">
        <w:rPr>
          <w:rFonts w:ascii="Palatino Linotype" w:hAnsi="Palatino Linotype"/>
          <w:b/>
          <w:color w:val="808080" w:themeColor="background1" w:themeShade="80"/>
          <w:sz w:val="22"/>
          <w:szCs w:val="22"/>
          <w:lang w:val="es-ES_tradnl"/>
        </w:rPr>
        <w:t>:</w:t>
      </w:r>
      <w:r>
        <w:rPr>
          <w:rFonts w:ascii="Palatino Linotype" w:hAnsi="Palatino Linotype"/>
          <w:b/>
          <w:color w:val="E36C0A" w:themeColor="accent6" w:themeShade="BF"/>
          <w:sz w:val="22"/>
          <w:szCs w:val="22"/>
          <w:lang w:val="es-ES_tradnl"/>
        </w:rPr>
        <w:t xml:space="preserve"> </w:t>
      </w:r>
    </w:p>
    <w:p w:rsidR="00607276" w:rsidRPr="002431E9" w:rsidRDefault="00607276" w:rsidP="00607276">
      <w:pPr>
        <w:ind w:left="426" w:firstLine="0"/>
        <w:rPr>
          <w:rFonts w:ascii="Palatino Linotype" w:hAnsi="Palatino Linotype"/>
          <w:sz w:val="20"/>
        </w:rPr>
      </w:pPr>
      <w:r w:rsidRPr="00607276">
        <w:rPr>
          <w:rFonts w:ascii="Palatino Linotype" w:hAnsi="Palatino Linotype"/>
          <w:sz w:val="20"/>
        </w:rPr>
        <w:t>Con la fina</w:t>
      </w:r>
      <w:r w:rsidRPr="002431E9">
        <w:rPr>
          <w:rFonts w:ascii="Palatino Linotype" w:hAnsi="Palatino Linotype"/>
          <w:sz w:val="20"/>
        </w:rPr>
        <w:t>lidad de presupuestar los créditos destinados a Transferencias Corrientes (Capítulo IV), y de Capital (Capítulo VII), en el marco de</w:t>
      </w:r>
      <w:r w:rsidRPr="00607276">
        <w:rPr>
          <w:rFonts w:ascii="Palatino Linotype" w:hAnsi="Palatino Linotype"/>
          <w:sz w:val="20"/>
        </w:rPr>
        <w:t>l Plan Estratégico que guíe la gestión de Subvenciones, Becas, Ayudas y Premios</w:t>
      </w:r>
      <w:r w:rsidRPr="002431E9">
        <w:rPr>
          <w:rFonts w:ascii="Palatino Linotype" w:hAnsi="Palatino Linotype"/>
          <w:sz w:val="20"/>
        </w:rPr>
        <w:t xml:space="preserve">; </w:t>
      </w:r>
      <w:r w:rsidRPr="00607276">
        <w:rPr>
          <w:rFonts w:ascii="Palatino Linotype" w:hAnsi="Palatino Linotype"/>
          <w:sz w:val="20"/>
        </w:rPr>
        <w:t xml:space="preserve">será necesario </w:t>
      </w:r>
      <w:r w:rsidRPr="002431E9">
        <w:rPr>
          <w:rFonts w:ascii="Palatino Linotype" w:hAnsi="Palatino Linotype"/>
          <w:sz w:val="20"/>
        </w:rPr>
        <w:t>confeccionar la Ficha 6, considerando los siguientes criterios</w:t>
      </w:r>
      <w:r w:rsidRPr="00607276">
        <w:rPr>
          <w:rFonts w:ascii="Palatino Linotype" w:hAnsi="Palatino Linotype"/>
          <w:sz w:val="20"/>
        </w:rPr>
        <w:t>:</w:t>
      </w:r>
    </w:p>
    <w:p w:rsidR="00607276" w:rsidRPr="002431E9" w:rsidRDefault="00607276" w:rsidP="00607276">
      <w:pPr>
        <w:pStyle w:val="Prrafodelista"/>
        <w:numPr>
          <w:ilvl w:val="0"/>
          <w:numId w:val="19"/>
        </w:numPr>
        <w:tabs>
          <w:tab w:val="left" w:pos="993"/>
          <w:tab w:val="left" w:pos="1560"/>
        </w:tabs>
        <w:ind w:left="709" w:firstLine="0"/>
        <w:rPr>
          <w:rFonts w:asciiTheme="majorHAnsi" w:hAnsiTheme="majorHAnsi"/>
          <w:sz w:val="20"/>
        </w:rPr>
      </w:pPr>
      <w:r w:rsidRPr="002431E9">
        <w:rPr>
          <w:rFonts w:asciiTheme="majorHAnsi" w:hAnsiTheme="majorHAnsi"/>
          <w:sz w:val="20"/>
        </w:rPr>
        <w:t xml:space="preserve">Las subvenciones nominativas deberán ser presupuestadas en líneas específicas, con detalle individualizado de su objeto, dotación presupuestaria, </w:t>
      </w:r>
      <w:r w:rsidRPr="00607276">
        <w:rPr>
          <w:rFonts w:asciiTheme="majorHAnsi" w:hAnsiTheme="majorHAnsi"/>
          <w:sz w:val="20"/>
        </w:rPr>
        <w:t xml:space="preserve">beneficiario, plazo previsto de concesión, para facilitar su expresa presupuestación en el estado de gastos. </w:t>
      </w:r>
    </w:p>
    <w:p w:rsidR="00607276" w:rsidRPr="002431E9" w:rsidRDefault="00607276" w:rsidP="00607276">
      <w:pPr>
        <w:pStyle w:val="Prrafodelista"/>
        <w:numPr>
          <w:ilvl w:val="0"/>
          <w:numId w:val="19"/>
        </w:numPr>
        <w:tabs>
          <w:tab w:val="left" w:pos="993"/>
          <w:tab w:val="left" w:pos="1560"/>
        </w:tabs>
        <w:ind w:left="709" w:firstLine="0"/>
        <w:rPr>
          <w:rFonts w:asciiTheme="majorHAnsi" w:hAnsiTheme="majorHAnsi"/>
          <w:sz w:val="20"/>
        </w:rPr>
      </w:pPr>
      <w:r w:rsidRPr="002431E9">
        <w:rPr>
          <w:rFonts w:asciiTheme="majorHAnsi" w:hAnsiTheme="majorHAnsi"/>
          <w:sz w:val="20"/>
        </w:rPr>
        <w:t>En los supuestos de convocatorias públicas de Subvenciones, Becas, Ayudas y Premios, deberá incorporase criterios que serán incorporados en la Convocatoria.</w:t>
      </w:r>
    </w:p>
    <w:p w:rsidR="00607276" w:rsidRPr="002431E9" w:rsidRDefault="00607276" w:rsidP="00607276">
      <w:pPr>
        <w:pStyle w:val="Prrafodelista"/>
        <w:numPr>
          <w:ilvl w:val="0"/>
          <w:numId w:val="19"/>
        </w:numPr>
        <w:tabs>
          <w:tab w:val="left" w:pos="993"/>
          <w:tab w:val="left" w:pos="1560"/>
        </w:tabs>
        <w:ind w:left="709" w:firstLine="0"/>
        <w:rPr>
          <w:rFonts w:asciiTheme="majorHAnsi" w:hAnsiTheme="majorHAnsi"/>
          <w:sz w:val="20"/>
        </w:rPr>
      </w:pPr>
      <w:r w:rsidRPr="002431E9">
        <w:rPr>
          <w:rFonts w:asciiTheme="majorHAnsi" w:hAnsiTheme="majorHAnsi"/>
          <w:sz w:val="20"/>
        </w:rPr>
        <w:t>En todo caso, las subvenciones deberán ser presupuestadas</w:t>
      </w:r>
      <w:r w:rsidRPr="00607276">
        <w:rPr>
          <w:rFonts w:asciiTheme="majorHAnsi" w:hAnsiTheme="majorHAnsi"/>
          <w:sz w:val="20"/>
        </w:rPr>
        <w:t xml:space="preserve"> en el marco de su ejecución anual, debiendo ser ejecutadas en el mismo ejercicio </w:t>
      </w:r>
      <w:r w:rsidR="00B327B6">
        <w:rPr>
          <w:rFonts w:asciiTheme="majorHAnsi" w:hAnsiTheme="majorHAnsi"/>
          <w:sz w:val="20"/>
        </w:rPr>
        <w:t>20</w:t>
      </w:r>
      <w:r w:rsidR="00551D37">
        <w:rPr>
          <w:rFonts w:asciiTheme="majorHAnsi" w:hAnsiTheme="majorHAnsi"/>
          <w:sz w:val="20"/>
        </w:rPr>
        <w:t>20</w:t>
      </w:r>
      <w:r w:rsidRPr="00607276">
        <w:rPr>
          <w:rFonts w:asciiTheme="majorHAnsi" w:hAnsiTheme="majorHAnsi"/>
          <w:sz w:val="20"/>
        </w:rPr>
        <w:t>.</w:t>
      </w:r>
    </w:p>
    <w:p w:rsidR="00607276" w:rsidRPr="002431E9" w:rsidRDefault="00607276" w:rsidP="00607276">
      <w:pPr>
        <w:pStyle w:val="Prrafodelista"/>
        <w:numPr>
          <w:ilvl w:val="0"/>
          <w:numId w:val="19"/>
        </w:numPr>
        <w:tabs>
          <w:tab w:val="left" w:pos="993"/>
          <w:tab w:val="left" w:pos="1560"/>
        </w:tabs>
        <w:ind w:left="709" w:firstLine="0"/>
        <w:rPr>
          <w:rFonts w:asciiTheme="majorHAnsi" w:hAnsiTheme="majorHAnsi"/>
          <w:sz w:val="20"/>
        </w:rPr>
      </w:pPr>
      <w:r w:rsidRPr="002431E9">
        <w:rPr>
          <w:rFonts w:asciiTheme="majorHAnsi" w:hAnsiTheme="majorHAnsi"/>
          <w:sz w:val="20"/>
        </w:rPr>
        <w:t>En los casos de gestionarse mediante Convenios, deberá adjuntarse documento, o criterios que serán incorporados al mismo.</w:t>
      </w:r>
    </w:p>
    <w:p w:rsidR="00607276" w:rsidRPr="002431E9" w:rsidRDefault="00607276" w:rsidP="00607276">
      <w:pPr>
        <w:pStyle w:val="Prrafodelista"/>
        <w:numPr>
          <w:ilvl w:val="0"/>
          <w:numId w:val="19"/>
        </w:numPr>
        <w:tabs>
          <w:tab w:val="left" w:pos="993"/>
          <w:tab w:val="left" w:pos="1560"/>
        </w:tabs>
        <w:ind w:left="709" w:firstLine="0"/>
        <w:rPr>
          <w:rFonts w:asciiTheme="majorHAnsi" w:hAnsiTheme="majorHAnsi"/>
          <w:sz w:val="20"/>
        </w:rPr>
      </w:pPr>
      <w:r w:rsidRPr="002431E9">
        <w:rPr>
          <w:rFonts w:asciiTheme="majorHAnsi" w:hAnsiTheme="majorHAnsi"/>
          <w:sz w:val="20"/>
        </w:rPr>
        <w:t>Específicamente, en el caso de convocatorias de Becas Internas, debe tenerse en cuenta la siguiente clasificación:</w:t>
      </w:r>
    </w:p>
    <w:p w:rsidR="00607276" w:rsidRDefault="00607276" w:rsidP="00607276">
      <w:pPr>
        <w:pStyle w:val="Prrafodelista"/>
        <w:numPr>
          <w:ilvl w:val="1"/>
          <w:numId w:val="19"/>
        </w:numPr>
        <w:tabs>
          <w:tab w:val="left" w:pos="993"/>
          <w:tab w:val="left" w:pos="1560"/>
        </w:tabs>
        <w:ind w:left="1276"/>
        <w:rPr>
          <w:rFonts w:ascii="Palatino Linotype" w:hAnsi="Palatino Linotype"/>
          <w:sz w:val="20"/>
        </w:rPr>
      </w:pPr>
      <w:r>
        <w:rPr>
          <w:rFonts w:ascii="Palatino Linotype" w:hAnsi="Palatino Linotype"/>
          <w:sz w:val="20"/>
        </w:rPr>
        <w:t xml:space="preserve">Alumnos en Prácticas: Las Asignaciones por Prácticas de Estudiantes en Unidades Orgánicas Internas de la Universidad, serán presupuestadas centralizadamente por el Vicerrector de Estudiantes y </w:t>
      </w:r>
      <w:r w:rsidR="00AD491F">
        <w:rPr>
          <w:rFonts w:ascii="Palatino Linotype" w:hAnsi="Palatino Linotype"/>
          <w:sz w:val="20"/>
        </w:rPr>
        <w:t>Coordinación</w:t>
      </w:r>
      <w:r>
        <w:rPr>
          <w:rFonts w:ascii="Palatino Linotype" w:hAnsi="Palatino Linotype"/>
          <w:sz w:val="20"/>
        </w:rPr>
        <w:t xml:space="preserve"> (directamente solicitará previsión a cada Unidad Orgánica susceptible de acogerse a estos programas de Prácticas Administrativas).</w:t>
      </w:r>
    </w:p>
    <w:p w:rsidR="00607276" w:rsidRDefault="00607276" w:rsidP="00607276">
      <w:pPr>
        <w:pStyle w:val="Prrafodelista"/>
        <w:numPr>
          <w:ilvl w:val="1"/>
          <w:numId w:val="19"/>
        </w:numPr>
        <w:tabs>
          <w:tab w:val="left" w:pos="993"/>
          <w:tab w:val="left" w:pos="1560"/>
        </w:tabs>
        <w:ind w:left="1276"/>
        <w:rPr>
          <w:rFonts w:ascii="Palatino Linotype" w:hAnsi="Palatino Linotype"/>
          <w:sz w:val="20"/>
        </w:rPr>
      </w:pPr>
      <w:r>
        <w:rPr>
          <w:rFonts w:ascii="Palatino Linotype" w:hAnsi="Palatino Linotype"/>
          <w:sz w:val="20"/>
        </w:rPr>
        <w:t>Becas de Colaboración: Serán presupuestadas por las Unidades Orgánicas, en partida presupuestaria de capítulo IV adscrita directamente a su Unidad. (</w:t>
      </w:r>
      <w:r>
        <w:rPr>
          <w:rFonts w:ascii="Palatino Linotype" w:hAnsi="Palatino Linotype"/>
          <w:b/>
          <w:color w:val="808080" w:themeColor="background1" w:themeShade="80"/>
          <w:sz w:val="22"/>
          <w:szCs w:val="22"/>
        </w:rPr>
        <w:t>Ficha 5</w:t>
      </w:r>
      <w:r>
        <w:rPr>
          <w:rFonts w:ascii="Palatino Linotype" w:hAnsi="Palatino Linotype"/>
          <w:sz w:val="20"/>
        </w:rPr>
        <w:t>, indicando partida presupuestaria propia).</w:t>
      </w:r>
    </w:p>
    <w:p w:rsidR="00607276" w:rsidRDefault="00607276" w:rsidP="00607276">
      <w:pPr>
        <w:pStyle w:val="Prrafodelista"/>
        <w:numPr>
          <w:ilvl w:val="1"/>
          <w:numId w:val="19"/>
        </w:numPr>
        <w:tabs>
          <w:tab w:val="left" w:pos="993"/>
          <w:tab w:val="left" w:pos="1560"/>
        </w:tabs>
        <w:ind w:left="1276" w:hanging="357"/>
        <w:rPr>
          <w:rFonts w:ascii="Palatino Linotype" w:hAnsi="Palatino Linotype"/>
          <w:sz w:val="20"/>
        </w:rPr>
      </w:pPr>
      <w:r>
        <w:rPr>
          <w:rFonts w:ascii="Palatino Linotype" w:hAnsi="Palatino Linotype"/>
          <w:sz w:val="20"/>
        </w:rPr>
        <w:t>Becas Formativas:  A solicitud de Unidad Orgánica interesada, será directamente presupuestada por Gerencia en una partida centralizada (</w:t>
      </w:r>
      <w:r w:rsidRPr="00A96F08">
        <w:rPr>
          <w:rFonts w:ascii="Palatino Linotype" w:hAnsi="Palatino Linotype"/>
          <w:sz w:val="20"/>
        </w:rPr>
        <w:t>Ficha 5</w:t>
      </w:r>
      <w:r>
        <w:rPr>
          <w:rFonts w:ascii="Palatino Linotype" w:hAnsi="Palatino Linotype"/>
          <w:sz w:val="20"/>
        </w:rPr>
        <w:t>, partida presupuestaria central).</w:t>
      </w:r>
    </w:p>
    <w:p w:rsidR="00C844D7" w:rsidRDefault="00C844D7">
      <w:pPr>
        <w:spacing w:after="200" w:line="276" w:lineRule="auto"/>
        <w:ind w:firstLine="0"/>
        <w:jc w:val="left"/>
        <w:rPr>
          <w:rFonts w:ascii="Palatino Linotype" w:hAnsi="Palatino Linotype"/>
          <w:sz w:val="20"/>
          <w:lang w:val="es-ES_tradnl"/>
        </w:rPr>
      </w:pPr>
      <w:r>
        <w:rPr>
          <w:rFonts w:ascii="Palatino Linotype" w:hAnsi="Palatino Linotype"/>
          <w:sz w:val="20"/>
        </w:rPr>
        <w:br w:type="page"/>
      </w:r>
    </w:p>
    <w:p w:rsidR="00607276" w:rsidRDefault="00607276" w:rsidP="00607276">
      <w:pPr>
        <w:pStyle w:val="Prrafodelista"/>
        <w:tabs>
          <w:tab w:val="left" w:pos="993"/>
          <w:tab w:val="left" w:pos="1560"/>
        </w:tabs>
        <w:ind w:left="709" w:firstLine="0"/>
        <w:rPr>
          <w:rFonts w:ascii="Palatino Linotype" w:hAnsi="Palatino Linotype"/>
          <w:sz w:val="20"/>
        </w:rPr>
      </w:pPr>
      <w:bookmarkStart w:id="0" w:name="_GoBack"/>
      <w:bookmarkEnd w:id="0"/>
    </w:p>
    <w:p w:rsidR="00607276" w:rsidRDefault="00607276" w:rsidP="00607276">
      <w:pPr>
        <w:pBdr>
          <w:top w:val="single" w:sz="4" w:space="1" w:color="auto"/>
          <w:left w:val="single" w:sz="4" w:space="11" w:color="auto"/>
          <w:bottom w:val="single" w:sz="4" w:space="1" w:color="auto"/>
          <w:right w:val="single" w:sz="4" w:space="4" w:color="auto"/>
        </w:pBdr>
        <w:ind w:left="284" w:firstLine="0"/>
        <w:rPr>
          <w:rFonts w:ascii="Palatino Linotype" w:hAnsi="Palatino Linotype"/>
          <w:sz w:val="20"/>
        </w:rPr>
      </w:pPr>
      <w:r>
        <w:rPr>
          <w:rFonts w:ascii="Palatino Linotype" w:hAnsi="Palatino Linotype"/>
          <w:sz w:val="20"/>
        </w:rPr>
        <w:t>2.- Planificación Plurianual:</w:t>
      </w:r>
    </w:p>
    <w:p w:rsidR="00607276" w:rsidRDefault="00607276" w:rsidP="00607276">
      <w:pPr>
        <w:pStyle w:val="FIRMA"/>
        <w:jc w:val="both"/>
        <w:rPr>
          <w:rFonts w:ascii="Palatino Linotype" w:hAnsi="Palatino Linotype"/>
          <w:sz w:val="20"/>
          <w:lang w:val="es-ES"/>
        </w:rPr>
      </w:pPr>
      <w:r>
        <w:rPr>
          <w:rFonts w:ascii="Palatino Linotype" w:hAnsi="Palatino Linotype"/>
          <w:sz w:val="20"/>
          <w:lang w:val="es-ES"/>
        </w:rPr>
        <w:lastRenderedPageBreak/>
        <w:t>Aquellas previsiones de gastos que comprendan su ejecución en más de un ejercicio</w:t>
      </w:r>
      <w:r>
        <w:rPr>
          <w:rFonts w:ascii="Calibri" w:hAnsi="Calibri"/>
          <w:color w:val="000000"/>
          <w:sz w:val="20"/>
        </w:rPr>
        <w:t xml:space="preserve"> </w:t>
      </w:r>
      <w:r>
        <w:rPr>
          <w:rFonts w:ascii="Palatino Linotype" w:hAnsi="Palatino Linotype"/>
          <w:sz w:val="20"/>
          <w:lang w:val="es-ES"/>
        </w:rPr>
        <w:t xml:space="preserve">presupuestario, deberán ser presupuestadas con detalle de las necesidades en el escenario presupuestario plurianual que garanticen su total ejecución. </w:t>
      </w:r>
      <w:r>
        <w:rPr>
          <w:rFonts w:ascii="Palatino Linotype" w:hAnsi="Palatino Linotype"/>
          <w:b/>
          <w:color w:val="808080" w:themeColor="background1" w:themeShade="80"/>
          <w:sz w:val="22"/>
          <w:szCs w:val="22"/>
        </w:rPr>
        <w:t>(Ficha 8).</w:t>
      </w:r>
    </w:p>
    <w:p w:rsidR="00607276" w:rsidRDefault="00607276" w:rsidP="00607276">
      <w:pPr>
        <w:pStyle w:val="FIRMA"/>
        <w:jc w:val="both"/>
        <w:rPr>
          <w:rFonts w:ascii="Palatino Linotype" w:hAnsi="Palatino Linotype"/>
          <w:sz w:val="20"/>
          <w:lang w:val="es-ES"/>
        </w:rPr>
      </w:pPr>
    </w:p>
    <w:p w:rsidR="00607276" w:rsidRDefault="00607276" w:rsidP="00607276">
      <w:pPr>
        <w:pStyle w:val="Prrafodelista"/>
        <w:pBdr>
          <w:top w:val="single" w:sz="4" w:space="1" w:color="auto"/>
          <w:left w:val="single" w:sz="4" w:space="1" w:color="auto"/>
          <w:bottom w:val="single" w:sz="4" w:space="1" w:color="auto"/>
          <w:right w:val="single" w:sz="4" w:space="4" w:color="auto"/>
        </w:pBdr>
        <w:ind w:left="142" w:firstLine="142"/>
        <w:rPr>
          <w:rFonts w:ascii="Palatino Linotype" w:hAnsi="Palatino Linotype"/>
          <w:sz w:val="20"/>
          <w:lang w:val="es-ES"/>
        </w:rPr>
      </w:pPr>
      <w:r>
        <w:rPr>
          <w:rFonts w:ascii="Palatino Linotype" w:hAnsi="Palatino Linotype"/>
          <w:sz w:val="20"/>
        </w:rPr>
        <w:t>3.- Previsiones de Ingresos</w:t>
      </w:r>
    </w:p>
    <w:p w:rsidR="00607276" w:rsidRDefault="00607276" w:rsidP="00607276">
      <w:pPr>
        <w:pStyle w:val="FIRMA"/>
        <w:jc w:val="both"/>
        <w:rPr>
          <w:rFonts w:ascii="Palatino Linotype" w:hAnsi="Palatino Linotype"/>
          <w:sz w:val="20"/>
          <w:lang w:val="es-ES"/>
        </w:rPr>
      </w:pPr>
      <w:r>
        <w:rPr>
          <w:rFonts w:ascii="Palatino Linotype" w:hAnsi="Palatino Linotype"/>
          <w:sz w:val="20"/>
          <w:lang w:val="es-ES"/>
        </w:rPr>
        <w:t xml:space="preserve">Conjuntamente a las Previsiones de Gastos, deberán incorporarse las previsiones de ingresos que se prevean recibir en el próximo ejercicio, con detalle en su caso de la línea de gasto que financie, facilitando en su caso, documento que facilite la previsión del Derecho. </w:t>
      </w:r>
      <w:r>
        <w:rPr>
          <w:rFonts w:ascii="Palatino Linotype" w:hAnsi="Palatino Linotype"/>
          <w:b/>
          <w:color w:val="808080" w:themeColor="background1" w:themeShade="80"/>
          <w:sz w:val="22"/>
          <w:szCs w:val="22"/>
        </w:rPr>
        <w:t>(Fichas 4 y 7).</w:t>
      </w:r>
    </w:p>
    <w:p w:rsidR="00607276" w:rsidRDefault="00607276" w:rsidP="00607276">
      <w:pPr>
        <w:pStyle w:val="FIRMA"/>
        <w:jc w:val="both"/>
        <w:rPr>
          <w:rFonts w:ascii="Palatino Linotype" w:hAnsi="Palatino Linotype"/>
          <w:sz w:val="20"/>
          <w:lang w:val="es-ES"/>
        </w:rPr>
      </w:pPr>
    </w:p>
    <w:p w:rsidR="00607276" w:rsidRDefault="00607276" w:rsidP="00607276">
      <w:pPr>
        <w:pStyle w:val="Prrafodelista"/>
        <w:pBdr>
          <w:top w:val="single" w:sz="4" w:space="1" w:color="auto"/>
          <w:left w:val="single" w:sz="4" w:space="1" w:color="auto"/>
          <w:bottom w:val="single" w:sz="4" w:space="1" w:color="auto"/>
          <w:right w:val="single" w:sz="4" w:space="4" w:color="auto"/>
        </w:pBdr>
        <w:ind w:left="142" w:firstLine="142"/>
        <w:rPr>
          <w:rFonts w:ascii="Palatino Linotype" w:hAnsi="Palatino Linotype"/>
          <w:sz w:val="20"/>
          <w:lang w:val="es-ES"/>
        </w:rPr>
      </w:pPr>
      <w:r>
        <w:rPr>
          <w:rFonts w:ascii="Palatino Linotype" w:hAnsi="Palatino Linotype"/>
          <w:sz w:val="20"/>
        </w:rPr>
        <w:t>4.- Precios Públicos y Tasas</w:t>
      </w:r>
    </w:p>
    <w:p w:rsidR="00607276" w:rsidRDefault="00607276" w:rsidP="00607276">
      <w:pPr>
        <w:pStyle w:val="FIRMA"/>
        <w:jc w:val="both"/>
        <w:rPr>
          <w:rFonts w:ascii="Palatino Linotype" w:hAnsi="Palatino Linotype"/>
          <w:b/>
          <w:color w:val="808080" w:themeColor="background1" w:themeShade="80"/>
          <w:sz w:val="22"/>
          <w:szCs w:val="22"/>
        </w:rPr>
      </w:pPr>
      <w:r>
        <w:rPr>
          <w:rFonts w:ascii="Palatino Linotype" w:hAnsi="Palatino Linotype"/>
          <w:sz w:val="20"/>
          <w:lang w:val="es-ES"/>
        </w:rPr>
        <w:t xml:space="preserve">Desde cada Unidad Orgánica, o Centro de Facturación, deberán presentarse los Precios Públicos, y Tasas que serán de aplicación a los ingresos que </w:t>
      </w:r>
      <w:r w:rsidRPr="00607276">
        <w:rPr>
          <w:rFonts w:ascii="Palatino Linotype" w:hAnsi="Palatino Linotype"/>
          <w:sz w:val="20"/>
          <w:lang w:val="es-ES"/>
        </w:rPr>
        <w:t>que resulten de aplicación en el próximo ejercicio; solicitando su aportación para adecuada actualización</w:t>
      </w:r>
      <w:r>
        <w:rPr>
          <w:rFonts w:ascii="Palatino Linotype" w:hAnsi="Palatino Linotype"/>
          <w:sz w:val="20"/>
          <w:lang w:val="es-ES"/>
        </w:rPr>
        <w:t xml:space="preserve"> </w:t>
      </w:r>
      <w:r>
        <w:rPr>
          <w:rFonts w:ascii="Palatino Linotype" w:hAnsi="Palatino Linotype"/>
          <w:b/>
          <w:color w:val="808080" w:themeColor="background1" w:themeShade="80"/>
          <w:sz w:val="22"/>
          <w:szCs w:val="22"/>
        </w:rPr>
        <w:t>(Ficha 3</w:t>
      </w:r>
      <w:r w:rsidR="00A1404E">
        <w:rPr>
          <w:rFonts w:ascii="Palatino Linotype" w:hAnsi="Palatino Linotype"/>
          <w:b/>
          <w:color w:val="808080" w:themeColor="background1" w:themeShade="80"/>
          <w:sz w:val="22"/>
          <w:szCs w:val="22"/>
        </w:rPr>
        <w:t>, 3A y 3B</w:t>
      </w:r>
      <w:r>
        <w:rPr>
          <w:rFonts w:ascii="Palatino Linotype" w:hAnsi="Palatino Linotype"/>
          <w:b/>
          <w:color w:val="808080" w:themeColor="background1" w:themeShade="80"/>
          <w:sz w:val="22"/>
          <w:szCs w:val="22"/>
        </w:rPr>
        <w:t>).</w:t>
      </w:r>
    </w:p>
    <w:p w:rsidR="00607276" w:rsidRDefault="00607276" w:rsidP="00607276">
      <w:pPr>
        <w:pStyle w:val="FIRMA"/>
        <w:jc w:val="both"/>
        <w:rPr>
          <w:rFonts w:ascii="Palatino Linotype" w:hAnsi="Palatino Linotype"/>
          <w:sz w:val="20"/>
          <w:lang w:val="es-ES"/>
        </w:rPr>
      </w:pPr>
    </w:p>
    <w:p w:rsidR="00607276" w:rsidRDefault="00607276" w:rsidP="00607276">
      <w:pPr>
        <w:pStyle w:val="Prrafodelista"/>
        <w:pBdr>
          <w:top w:val="single" w:sz="4" w:space="1" w:color="auto"/>
          <w:left w:val="single" w:sz="4" w:space="1" w:color="auto"/>
          <w:bottom w:val="single" w:sz="4" w:space="1" w:color="auto"/>
          <w:right w:val="single" w:sz="4" w:space="4" w:color="auto"/>
        </w:pBdr>
        <w:ind w:left="284" w:hanging="142"/>
        <w:rPr>
          <w:rFonts w:ascii="Palatino Linotype" w:hAnsi="Palatino Linotype"/>
          <w:sz w:val="20"/>
          <w:lang w:val="es-ES"/>
        </w:rPr>
      </w:pPr>
      <w:r>
        <w:rPr>
          <w:rFonts w:ascii="Palatino Linotype" w:hAnsi="Palatino Linotype"/>
          <w:sz w:val="20"/>
        </w:rPr>
        <w:t xml:space="preserve">  5.- Normativas</w:t>
      </w:r>
    </w:p>
    <w:p w:rsidR="00607276" w:rsidRDefault="00607276" w:rsidP="00607276">
      <w:pPr>
        <w:pStyle w:val="FIRMA"/>
        <w:jc w:val="both"/>
        <w:rPr>
          <w:rFonts w:ascii="Palatino Linotype" w:hAnsi="Palatino Linotype"/>
          <w:sz w:val="20"/>
          <w:lang w:val="es-ES"/>
        </w:rPr>
      </w:pPr>
      <w:r w:rsidRPr="00607276">
        <w:rPr>
          <w:rFonts w:ascii="Palatino Linotype" w:hAnsi="Palatino Linotype"/>
          <w:sz w:val="20"/>
          <w:lang w:val="es-ES"/>
        </w:rPr>
        <w:t>Acompañando al Proyecto de Presupuesto, se incorporan aquellas normas con relevancia presupuestaria que faciliten la gestión de los créditos, Anexos de uso habitual y consulta</w:t>
      </w:r>
      <w:r>
        <w:rPr>
          <w:rFonts w:ascii="Palatino Linotype" w:hAnsi="Palatino Linotype"/>
          <w:sz w:val="20"/>
          <w:lang w:val="es-ES"/>
        </w:rPr>
        <w:t xml:space="preserve"> </w:t>
      </w:r>
      <w:r>
        <w:rPr>
          <w:rFonts w:ascii="Palatino Linotype" w:hAnsi="Palatino Linotype"/>
          <w:b/>
          <w:color w:val="808080" w:themeColor="background1" w:themeShade="80"/>
          <w:sz w:val="22"/>
          <w:szCs w:val="22"/>
        </w:rPr>
        <w:t>(Ficha 2).</w:t>
      </w:r>
    </w:p>
    <w:p w:rsidR="00607276" w:rsidRDefault="00607276" w:rsidP="00607276">
      <w:pPr>
        <w:pStyle w:val="FIRMA"/>
        <w:ind w:left="927"/>
        <w:jc w:val="both"/>
        <w:rPr>
          <w:rFonts w:ascii="Palatino Linotype" w:hAnsi="Palatino Linotype"/>
          <w:sz w:val="20"/>
          <w:lang w:val="es-ES"/>
        </w:rPr>
      </w:pPr>
    </w:p>
    <w:p w:rsidR="00607276" w:rsidRDefault="00607276" w:rsidP="00607276">
      <w:pPr>
        <w:ind w:firstLine="0"/>
        <w:rPr>
          <w:rFonts w:ascii="Palatino Linotype" w:hAnsi="Palatino Linotype"/>
          <w:sz w:val="20"/>
        </w:rPr>
      </w:pPr>
      <w:r>
        <w:rPr>
          <w:rFonts w:ascii="Palatino Linotype" w:hAnsi="Palatino Linotype"/>
          <w:sz w:val="20"/>
        </w:rPr>
        <w:t>Para facilitar la presentación de sus solicitudes, incorporamos los siguientes Recursos que le resultarán de utilidad:</w:t>
      </w:r>
    </w:p>
    <w:p w:rsidR="00607276" w:rsidRDefault="00607276" w:rsidP="00607276">
      <w:pPr>
        <w:pStyle w:val="Prrafodelista"/>
        <w:numPr>
          <w:ilvl w:val="1"/>
          <w:numId w:val="2"/>
        </w:numPr>
        <w:ind w:left="927"/>
        <w:rPr>
          <w:rFonts w:ascii="Palatino Linotype" w:hAnsi="Palatino Linotype"/>
          <w:sz w:val="20"/>
        </w:rPr>
      </w:pPr>
      <w:r>
        <w:rPr>
          <w:rFonts w:ascii="Palatino Linotype" w:hAnsi="Palatino Linotype"/>
          <w:sz w:val="20"/>
        </w:rPr>
        <w:t xml:space="preserve">Aplicativo “Presupuestación”: modulo incorporado al Aplicativo de Gestión Económica Universitas XXI, </w:t>
      </w:r>
      <w:r w:rsidRPr="000F3A89">
        <w:rPr>
          <w:rFonts w:ascii="Palatino Linotype" w:hAnsi="Palatino Linotype"/>
          <w:sz w:val="20"/>
        </w:rPr>
        <w:t>qu</w:t>
      </w:r>
      <w:r>
        <w:rPr>
          <w:rFonts w:ascii="Palatino Linotype" w:hAnsi="Palatino Linotype"/>
          <w:sz w:val="20"/>
        </w:rPr>
        <w:t>e</w:t>
      </w:r>
      <w:r w:rsidRPr="000F3A89">
        <w:rPr>
          <w:rFonts w:ascii="Palatino Linotype" w:hAnsi="Palatino Linotype"/>
          <w:sz w:val="20"/>
        </w:rPr>
        <w:t xml:space="preserve"> permitirá agilizar y facilitar el proceso de elaboración del Presupuesto. </w:t>
      </w:r>
    </w:p>
    <w:p w:rsidR="00607276" w:rsidRDefault="00607276" w:rsidP="00607276">
      <w:pPr>
        <w:pStyle w:val="Prrafodelista"/>
        <w:numPr>
          <w:ilvl w:val="1"/>
          <w:numId w:val="2"/>
        </w:numPr>
        <w:ind w:left="927"/>
        <w:rPr>
          <w:rFonts w:ascii="Palatino Linotype" w:hAnsi="Palatino Linotype"/>
          <w:sz w:val="20"/>
        </w:rPr>
      </w:pPr>
      <w:r>
        <w:rPr>
          <w:rFonts w:ascii="Palatino Linotype" w:hAnsi="Palatino Linotype"/>
          <w:sz w:val="20"/>
        </w:rPr>
        <w:t>P</w:t>
      </w:r>
      <w:r w:rsidRPr="000F3A89">
        <w:rPr>
          <w:rFonts w:ascii="Palatino Linotype" w:hAnsi="Palatino Linotype"/>
          <w:sz w:val="20"/>
        </w:rPr>
        <w:t>ágina web del Servicio de Gestión Presupuestaria y Patrimonial, apartado “Presupuestos / Elaborac</w:t>
      </w:r>
      <w:r>
        <w:rPr>
          <w:rFonts w:ascii="Palatino Linotype" w:hAnsi="Palatino Linotype"/>
          <w:sz w:val="20"/>
        </w:rPr>
        <w:t>ión”, dispone de la siguiente información:</w:t>
      </w:r>
    </w:p>
    <w:p w:rsidR="00607276" w:rsidRDefault="00607276" w:rsidP="00607276">
      <w:pPr>
        <w:pStyle w:val="Prrafodelista"/>
        <w:numPr>
          <w:ilvl w:val="2"/>
          <w:numId w:val="2"/>
        </w:numPr>
        <w:ind w:left="1560"/>
        <w:rPr>
          <w:rFonts w:ascii="Palatino Linotype" w:hAnsi="Palatino Linotype"/>
          <w:sz w:val="20"/>
        </w:rPr>
      </w:pPr>
      <w:r>
        <w:rPr>
          <w:rFonts w:ascii="Palatino Linotype" w:hAnsi="Palatino Linotype"/>
          <w:sz w:val="20"/>
        </w:rPr>
        <w:t>Guía para la Presupuestación.</w:t>
      </w:r>
    </w:p>
    <w:p w:rsidR="00607276" w:rsidRPr="000F3A89" w:rsidRDefault="00607276" w:rsidP="00607276">
      <w:pPr>
        <w:pStyle w:val="Prrafodelista"/>
        <w:numPr>
          <w:ilvl w:val="3"/>
          <w:numId w:val="2"/>
        </w:numPr>
        <w:ind w:left="1560"/>
        <w:rPr>
          <w:rFonts w:ascii="Palatino Linotype" w:hAnsi="Palatino Linotype"/>
          <w:sz w:val="20"/>
        </w:rPr>
      </w:pPr>
      <w:r w:rsidRPr="000F3A89">
        <w:rPr>
          <w:rFonts w:ascii="Palatino Linotype" w:hAnsi="Palatino Linotype"/>
          <w:sz w:val="20"/>
        </w:rPr>
        <w:t xml:space="preserve">Fichas para la Presentación de Solicitudes, y que se relacionan a continuación:  </w:t>
      </w:r>
    </w:p>
    <w:tbl>
      <w:tblPr>
        <w:tblStyle w:val="Tablaconcuadrcula"/>
        <w:tblW w:w="0" w:type="auto"/>
        <w:tblInd w:w="-15" w:type="dxa"/>
        <w:tblLayout w:type="fixed"/>
        <w:tblLook w:val="04A0" w:firstRow="1" w:lastRow="0" w:firstColumn="1" w:lastColumn="0" w:noHBand="0" w:noVBand="1"/>
      </w:tblPr>
      <w:tblGrid>
        <w:gridCol w:w="9478"/>
      </w:tblGrid>
      <w:tr w:rsidR="00607276" w:rsidTr="00DA4554">
        <w:tc>
          <w:tcPr>
            <w:tcW w:w="9478"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hideMark/>
          </w:tcPr>
          <w:p w:rsidR="00607276" w:rsidRDefault="00607276" w:rsidP="00DA4554">
            <w:pPr>
              <w:pStyle w:val="Encabezado"/>
              <w:tabs>
                <w:tab w:val="left" w:pos="708"/>
              </w:tabs>
              <w:ind w:left="284" w:firstLine="283"/>
              <w:jc w:val="center"/>
              <w:rPr>
                <w:rFonts w:ascii="Palatino Linotype" w:hAnsi="Palatino Linotype"/>
                <w:b/>
                <w:i/>
                <w:color w:val="FFFFFF" w:themeColor="background1"/>
                <w:sz w:val="20"/>
                <w:lang w:eastAsia="en-US"/>
              </w:rPr>
            </w:pPr>
            <w:r>
              <w:rPr>
                <w:rFonts w:ascii="Palatino Linotype" w:hAnsi="Palatino Linotype"/>
                <w:b/>
                <w:i/>
                <w:color w:val="FFFFFF" w:themeColor="background1"/>
                <w:sz w:val="20"/>
                <w:lang w:eastAsia="en-US"/>
              </w:rPr>
              <w:t>INDICACIONES CUMPLIMENTACIÓN</w:t>
            </w:r>
          </w:p>
        </w:tc>
      </w:tr>
      <w:tr w:rsidR="00607276" w:rsidTr="00DA4554">
        <w:tc>
          <w:tcPr>
            <w:tcW w:w="9478" w:type="dxa"/>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rsidR="00607276" w:rsidRDefault="00607276" w:rsidP="00DA4554">
            <w:pPr>
              <w:pStyle w:val="Encabezado"/>
              <w:tabs>
                <w:tab w:val="left" w:pos="708"/>
              </w:tabs>
              <w:ind w:left="34" w:hanging="34"/>
              <w:jc w:val="center"/>
              <w:rPr>
                <w:rFonts w:ascii="Palatino Linotype" w:hAnsi="Palatino Linotype"/>
                <w:i/>
                <w:sz w:val="20"/>
                <w:lang w:eastAsia="en-US"/>
              </w:rPr>
            </w:pPr>
            <w:r>
              <w:rPr>
                <w:rFonts w:ascii="Palatino Linotype" w:hAnsi="Palatino Linotype"/>
                <w:i/>
                <w:sz w:val="20"/>
                <w:lang w:eastAsia="en-US"/>
              </w:rPr>
              <w:t>OBJETIVOS Y ACTUACIONES (FICHA 1)</w:t>
            </w:r>
          </w:p>
        </w:tc>
      </w:tr>
      <w:tr w:rsidR="00607276" w:rsidTr="00DA4554">
        <w:trPr>
          <w:trHeight w:val="202"/>
        </w:trPr>
        <w:tc>
          <w:tcPr>
            <w:tcW w:w="9478" w:type="dxa"/>
            <w:tcBorders>
              <w:top w:val="single" w:sz="4" w:space="0" w:color="auto"/>
              <w:left w:val="single" w:sz="4" w:space="0" w:color="auto"/>
              <w:bottom w:val="single" w:sz="4" w:space="0" w:color="auto"/>
              <w:right w:val="single" w:sz="4" w:space="0" w:color="auto"/>
            </w:tcBorders>
            <w:hideMark/>
          </w:tcPr>
          <w:p w:rsidR="00607276" w:rsidRDefault="00607276" w:rsidP="00DA4554">
            <w:pPr>
              <w:pStyle w:val="Encabezado"/>
              <w:tabs>
                <w:tab w:val="left" w:pos="708"/>
              </w:tabs>
              <w:ind w:firstLine="34"/>
              <w:jc w:val="left"/>
              <w:rPr>
                <w:rFonts w:ascii="Palatino Linotype" w:hAnsi="Palatino Linotype"/>
                <w:sz w:val="16"/>
                <w:szCs w:val="16"/>
                <w:lang w:eastAsia="en-US"/>
              </w:rPr>
            </w:pPr>
            <w:r>
              <w:rPr>
                <w:rFonts w:ascii="Palatino Linotype" w:hAnsi="Palatino Linotype"/>
                <w:sz w:val="16"/>
                <w:szCs w:val="16"/>
                <w:lang w:eastAsia="en-US"/>
              </w:rPr>
              <w:t xml:space="preserve">Indicar los Objetivos que se fijan para el ejercicio </w:t>
            </w:r>
            <w:r w:rsidR="00B327B6">
              <w:rPr>
                <w:rFonts w:ascii="Palatino Linotype" w:hAnsi="Palatino Linotype"/>
                <w:sz w:val="16"/>
                <w:szCs w:val="16"/>
                <w:lang w:eastAsia="en-US"/>
              </w:rPr>
              <w:t>20</w:t>
            </w:r>
            <w:r w:rsidR="00551D37">
              <w:rPr>
                <w:rFonts w:ascii="Palatino Linotype" w:hAnsi="Palatino Linotype"/>
                <w:sz w:val="16"/>
                <w:szCs w:val="16"/>
                <w:lang w:eastAsia="en-US"/>
              </w:rPr>
              <w:t>20</w:t>
            </w:r>
            <w:r>
              <w:rPr>
                <w:rFonts w:ascii="Palatino Linotype" w:hAnsi="Palatino Linotype"/>
                <w:sz w:val="16"/>
                <w:szCs w:val="16"/>
                <w:lang w:eastAsia="en-US"/>
              </w:rPr>
              <w:t>, para cada Unidad Orgánica y Programa, debiéndose aportar metas e indicadores para su consecución; así como resultados de los Objetivos y Actuaciones aprobados en el año 201</w:t>
            </w:r>
            <w:r w:rsidR="00551D37">
              <w:rPr>
                <w:rFonts w:ascii="Palatino Linotype" w:hAnsi="Palatino Linotype"/>
                <w:sz w:val="16"/>
                <w:szCs w:val="16"/>
                <w:lang w:eastAsia="en-US"/>
              </w:rPr>
              <w:t>9</w:t>
            </w:r>
            <w:r>
              <w:rPr>
                <w:rFonts w:ascii="Palatino Linotype" w:hAnsi="Palatino Linotype"/>
                <w:sz w:val="16"/>
                <w:szCs w:val="16"/>
                <w:lang w:eastAsia="en-US"/>
              </w:rPr>
              <w:t>, facilitándose modelo (Ficha 1), con el siguiente detalle:</w:t>
            </w:r>
          </w:p>
          <w:p w:rsidR="00607276" w:rsidRDefault="00607276" w:rsidP="00607276">
            <w:pPr>
              <w:pStyle w:val="Prrafodelista"/>
              <w:numPr>
                <w:ilvl w:val="0"/>
                <w:numId w:val="20"/>
              </w:numPr>
              <w:tabs>
                <w:tab w:val="left" w:pos="993"/>
              </w:tabs>
              <w:ind w:left="321"/>
              <w:rPr>
                <w:rFonts w:ascii="Palatino Linotype" w:hAnsi="Palatino Linotype"/>
                <w:sz w:val="16"/>
                <w:szCs w:val="16"/>
                <w:lang w:eastAsia="en-US"/>
              </w:rPr>
            </w:pPr>
            <w:r w:rsidRPr="00A96F08">
              <w:rPr>
                <w:rFonts w:ascii="Palatino Linotype" w:hAnsi="Palatino Linotype"/>
                <w:sz w:val="16"/>
                <w:szCs w:val="16"/>
                <w:lang w:val="es-ES" w:eastAsia="en-US"/>
              </w:rPr>
              <w:t>Informar de las principales variaciones experimentadas entre el ejercicio a presupuestar y el anterior, justificando adecuadamente las mismas.</w:t>
            </w:r>
          </w:p>
          <w:p w:rsidR="00607276" w:rsidRDefault="00607276" w:rsidP="00607276">
            <w:pPr>
              <w:pStyle w:val="Prrafodelista"/>
              <w:numPr>
                <w:ilvl w:val="0"/>
                <w:numId w:val="20"/>
              </w:numPr>
              <w:tabs>
                <w:tab w:val="left" w:pos="993"/>
              </w:tabs>
              <w:ind w:left="321"/>
              <w:rPr>
                <w:rFonts w:ascii="Palatino Linotype" w:hAnsi="Palatino Linotype"/>
                <w:sz w:val="20"/>
                <w:lang w:eastAsia="en-US"/>
              </w:rPr>
            </w:pPr>
            <w:r w:rsidRPr="00607276">
              <w:rPr>
                <w:rFonts w:ascii="Palatino Linotype" w:hAnsi="Palatino Linotype"/>
                <w:sz w:val="16"/>
                <w:szCs w:val="16"/>
                <w:lang w:val="es-ES" w:eastAsia="en-US"/>
              </w:rPr>
              <w:t>Relacionar los Resultados conseguidos a fecha actual, sobre los objetivos establecidos en el ejercicio inmediato anterior, así  como la planificación de los objetivos y actuaciones  a desarrollar en el próximo ejercicio, priorizadas en atención a la importancia de los objetivos, estableciendo metas a conseguir, e indicadores que faciliten la medición del resultado conseguido.</w:t>
            </w:r>
          </w:p>
        </w:tc>
      </w:tr>
      <w:tr w:rsidR="00607276" w:rsidTr="00DA4554">
        <w:tc>
          <w:tcPr>
            <w:tcW w:w="9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7276" w:rsidRDefault="00607276" w:rsidP="00DA4554">
            <w:pPr>
              <w:pStyle w:val="Encabezado"/>
              <w:tabs>
                <w:tab w:val="left" w:pos="708"/>
              </w:tabs>
              <w:ind w:left="34" w:hanging="34"/>
              <w:jc w:val="center"/>
              <w:rPr>
                <w:rFonts w:ascii="Palatino Linotype" w:hAnsi="Palatino Linotype"/>
                <w:i/>
                <w:sz w:val="20"/>
                <w:lang w:eastAsia="en-US"/>
              </w:rPr>
            </w:pPr>
            <w:r>
              <w:rPr>
                <w:rFonts w:ascii="Palatino Linotype" w:hAnsi="Palatino Linotype"/>
                <w:i/>
                <w:sz w:val="20"/>
                <w:lang w:eastAsia="en-US"/>
              </w:rPr>
              <w:t>PROPUESTA ACTUALIZACIÓN NORMATIVA (FICHA 2)</w:t>
            </w:r>
          </w:p>
        </w:tc>
      </w:tr>
      <w:tr w:rsidR="00607276" w:rsidTr="00DA4554">
        <w:tc>
          <w:tcPr>
            <w:tcW w:w="9478" w:type="dxa"/>
            <w:tcBorders>
              <w:top w:val="single" w:sz="4" w:space="0" w:color="auto"/>
              <w:left w:val="single" w:sz="4" w:space="0" w:color="auto"/>
              <w:bottom w:val="single" w:sz="4" w:space="0" w:color="auto"/>
              <w:right w:val="single" w:sz="4" w:space="0" w:color="auto"/>
            </w:tcBorders>
            <w:hideMark/>
          </w:tcPr>
          <w:p w:rsidR="00607276" w:rsidRDefault="00607276" w:rsidP="00DA4554">
            <w:pPr>
              <w:pStyle w:val="Encabezado"/>
              <w:tabs>
                <w:tab w:val="left" w:pos="708"/>
              </w:tabs>
              <w:rPr>
                <w:rFonts w:ascii="Palatino Linotype" w:hAnsi="Palatino Linotype"/>
                <w:sz w:val="16"/>
                <w:szCs w:val="16"/>
                <w:lang w:eastAsia="en-US"/>
              </w:rPr>
            </w:pPr>
            <w:r>
              <w:rPr>
                <w:rFonts w:ascii="Palatino Linotype" w:hAnsi="Palatino Linotype"/>
                <w:sz w:val="16"/>
                <w:szCs w:val="16"/>
                <w:lang w:eastAsia="en-US"/>
              </w:rPr>
              <w:t>Facilita la propuesta de actualizaciones o modificaciones de la normativa de gestión presupuestaria.</w:t>
            </w:r>
          </w:p>
          <w:p w:rsidR="00607276" w:rsidRDefault="00607276" w:rsidP="00DA4554">
            <w:pPr>
              <w:pStyle w:val="Encabezado"/>
              <w:tabs>
                <w:tab w:val="left" w:pos="708"/>
              </w:tabs>
              <w:rPr>
                <w:rFonts w:ascii="Palatino Linotype" w:hAnsi="Palatino Linotype"/>
                <w:sz w:val="20"/>
                <w:lang w:eastAsia="en-US"/>
              </w:rPr>
            </w:pPr>
            <w:r>
              <w:rPr>
                <w:rFonts w:ascii="Palatino Linotype" w:hAnsi="Palatino Linotype"/>
                <w:sz w:val="16"/>
                <w:szCs w:val="16"/>
                <w:lang w:eastAsia="en-US"/>
              </w:rPr>
              <w:t>Aportar toda aquella normativa con incidencia en la gestión económico-presupuestaria de su ámbito, para su incorporación al Documento Presupuestario.</w:t>
            </w:r>
          </w:p>
        </w:tc>
      </w:tr>
      <w:tr w:rsidR="00607276" w:rsidTr="00DA4554">
        <w:tc>
          <w:tcPr>
            <w:tcW w:w="9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7276" w:rsidRDefault="00607276" w:rsidP="00DA4554">
            <w:pPr>
              <w:pStyle w:val="Encabezado"/>
              <w:tabs>
                <w:tab w:val="left" w:pos="708"/>
              </w:tabs>
              <w:ind w:left="34" w:hanging="34"/>
              <w:jc w:val="center"/>
              <w:rPr>
                <w:rFonts w:ascii="Palatino Linotype" w:hAnsi="Palatino Linotype"/>
                <w:i/>
                <w:sz w:val="20"/>
                <w:lang w:eastAsia="en-US"/>
              </w:rPr>
            </w:pPr>
            <w:r>
              <w:rPr>
                <w:rFonts w:ascii="Palatino Linotype" w:hAnsi="Palatino Linotype"/>
                <w:i/>
                <w:sz w:val="20"/>
                <w:lang w:eastAsia="en-US"/>
              </w:rPr>
              <w:t>PRECIOS Y TASAS (FICHA 3</w:t>
            </w:r>
            <w:r w:rsidR="00A1404E">
              <w:rPr>
                <w:rFonts w:ascii="Palatino Linotype" w:hAnsi="Palatino Linotype"/>
                <w:i/>
                <w:sz w:val="20"/>
                <w:lang w:eastAsia="en-US"/>
              </w:rPr>
              <w:t>, 3A Y 3B</w:t>
            </w:r>
            <w:r>
              <w:rPr>
                <w:rFonts w:ascii="Palatino Linotype" w:hAnsi="Palatino Linotype"/>
                <w:i/>
                <w:sz w:val="20"/>
                <w:lang w:eastAsia="en-US"/>
              </w:rPr>
              <w:t>)</w:t>
            </w:r>
          </w:p>
        </w:tc>
      </w:tr>
      <w:tr w:rsidR="00607276" w:rsidTr="00DA4554">
        <w:tc>
          <w:tcPr>
            <w:tcW w:w="9478" w:type="dxa"/>
            <w:tcBorders>
              <w:top w:val="single" w:sz="4" w:space="0" w:color="auto"/>
              <w:left w:val="single" w:sz="4" w:space="0" w:color="auto"/>
              <w:bottom w:val="single" w:sz="4" w:space="0" w:color="auto"/>
              <w:right w:val="single" w:sz="4" w:space="0" w:color="auto"/>
            </w:tcBorders>
            <w:hideMark/>
          </w:tcPr>
          <w:p w:rsidR="00607276" w:rsidRDefault="00607276" w:rsidP="00DA4554">
            <w:pPr>
              <w:pStyle w:val="Encabezado"/>
              <w:tabs>
                <w:tab w:val="left" w:pos="708"/>
              </w:tabs>
              <w:rPr>
                <w:rFonts w:ascii="Palatino Linotype" w:hAnsi="Palatino Linotype"/>
                <w:sz w:val="16"/>
                <w:szCs w:val="16"/>
                <w:lang w:eastAsia="en-US"/>
              </w:rPr>
            </w:pPr>
            <w:r>
              <w:rPr>
                <w:rFonts w:ascii="Palatino Linotype" w:hAnsi="Palatino Linotype"/>
                <w:sz w:val="16"/>
                <w:szCs w:val="16"/>
                <w:lang w:eastAsia="en-US"/>
              </w:rPr>
              <w:t>Reflejar los precios públicos y tarifas a utilizar en el ejercicio siguiente, cumplimentándose Ficha 3</w:t>
            </w:r>
            <w:r w:rsidR="00A1404E">
              <w:rPr>
                <w:rFonts w:ascii="Palatino Linotype" w:hAnsi="Palatino Linotype"/>
                <w:sz w:val="16"/>
                <w:szCs w:val="16"/>
                <w:lang w:eastAsia="en-US"/>
              </w:rPr>
              <w:t>, 3A y 3B</w:t>
            </w:r>
            <w:r>
              <w:rPr>
                <w:rFonts w:ascii="Palatino Linotype" w:hAnsi="Palatino Linotype"/>
                <w:sz w:val="16"/>
                <w:szCs w:val="16"/>
                <w:lang w:eastAsia="en-US"/>
              </w:rPr>
              <w:t xml:space="preserve">. </w:t>
            </w:r>
          </w:p>
          <w:p w:rsidR="00607276" w:rsidRDefault="00607276" w:rsidP="00551D37">
            <w:pPr>
              <w:pStyle w:val="Encabezado"/>
              <w:tabs>
                <w:tab w:val="left" w:pos="708"/>
              </w:tabs>
              <w:rPr>
                <w:rFonts w:ascii="Palatino Linotype" w:hAnsi="Palatino Linotype"/>
                <w:b/>
                <w:sz w:val="20"/>
                <w:lang w:eastAsia="en-US"/>
              </w:rPr>
            </w:pPr>
            <w:r>
              <w:rPr>
                <w:rFonts w:ascii="Palatino Linotype" w:hAnsi="Palatino Linotype"/>
                <w:b/>
                <w:sz w:val="16"/>
                <w:szCs w:val="16"/>
                <w:lang w:eastAsia="en-US"/>
              </w:rPr>
              <w:t xml:space="preserve">Exige la legislación vigente, la aprobación de los precios y tasas conjuntamente con el documento presupuestario, para que puedan ser aplicados en el ejercicio </w:t>
            </w:r>
            <w:r w:rsidR="00B327B6">
              <w:rPr>
                <w:rFonts w:ascii="Palatino Linotype" w:hAnsi="Palatino Linotype"/>
                <w:b/>
                <w:sz w:val="16"/>
                <w:szCs w:val="16"/>
                <w:lang w:eastAsia="en-US"/>
              </w:rPr>
              <w:t>20</w:t>
            </w:r>
            <w:r w:rsidR="00551D37">
              <w:rPr>
                <w:rFonts w:ascii="Palatino Linotype" w:hAnsi="Palatino Linotype"/>
                <w:b/>
                <w:sz w:val="16"/>
                <w:szCs w:val="16"/>
                <w:lang w:eastAsia="en-US"/>
              </w:rPr>
              <w:t>20</w:t>
            </w:r>
            <w:r>
              <w:rPr>
                <w:rFonts w:ascii="Palatino Linotype" w:hAnsi="Palatino Linotype"/>
                <w:b/>
                <w:sz w:val="16"/>
                <w:szCs w:val="16"/>
                <w:lang w:eastAsia="en-US"/>
              </w:rPr>
              <w:t>.</w:t>
            </w:r>
          </w:p>
        </w:tc>
      </w:tr>
      <w:tr w:rsidR="00607276" w:rsidTr="00DA4554">
        <w:tc>
          <w:tcPr>
            <w:tcW w:w="9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7276" w:rsidRDefault="00607276" w:rsidP="00DA4554">
            <w:pPr>
              <w:pStyle w:val="Encabezado"/>
              <w:tabs>
                <w:tab w:val="left" w:pos="708"/>
              </w:tabs>
              <w:ind w:left="34" w:hanging="34"/>
              <w:jc w:val="center"/>
              <w:rPr>
                <w:rFonts w:ascii="Palatino Linotype" w:hAnsi="Palatino Linotype"/>
                <w:i/>
                <w:sz w:val="20"/>
                <w:lang w:eastAsia="en-US"/>
              </w:rPr>
            </w:pPr>
            <w:r>
              <w:rPr>
                <w:rFonts w:ascii="Palatino Linotype" w:hAnsi="Palatino Linotype"/>
                <w:i/>
                <w:sz w:val="20"/>
                <w:lang w:eastAsia="en-US"/>
              </w:rPr>
              <w:t>INGRESOS (FICHA 4)</w:t>
            </w:r>
          </w:p>
        </w:tc>
      </w:tr>
      <w:tr w:rsidR="00607276" w:rsidTr="00DA4554">
        <w:trPr>
          <w:trHeight w:val="1297"/>
        </w:trPr>
        <w:tc>
          <w:tcPr>
            <w:tcW w:w="9478" w:type="dxa"/>
            <w:tcBorders>
              <w:top w:val="single" w:sz="4" w:space="0" w:color="auto"/>
              <w:left w:val="single" w:sz="4" w:space="0" w:color="auto"/>
              <w:bottom w:val="single" w:sz="4" w:space="0" w:color="auto"/>
              <w:right w:val="single" w:sz="4" w:space="0" w:color="auto"/>
            </w:tcBorders>
            <w:hideMark/>
          </w:tcPr>
          <w:p w:rsidR="00607276" w:rsidRDefault="00607276" w:rsidP="00DA4554">
            <w:pPr>
              <w:pStyle w:val="Encabezado"/>
              <w:tabs>
                <w:tab w:val="left" w:pos="708"/>
              </w:tabs>
              <w:rPr>
                <w:rFonts w:ascii="Palatino Linotype" w:hAnsi="Palatino Linotype"/>
                <w:sz w:val="16"/>
                <w:szCs w:val="16"/>
                <w:lang w:eastAsia="en-US"/>
              </w:rPr>
            </w:pPr>
            <w:r>
              <w:rPr>
                <w:rFonts w:ascii="Palatino Linotype" w:hAnsi="Palatino Linotype"/>
                <w:sz w:val="16"/>
                <w:szCs w:val="16"/>
                <w:lang w:eastAsia="en-US"/>
              </w:rPr>
              <w:t>Reflejar todas las previsiones de ingresos que se esperen recibir a lo largo del próximo ejercicio por las actividades del ámbito de la Unidad, tanto si permiten la financiación de gastos de la Unidad, como si suponen aplicación general.</w:t>
            </w:r>
          </w:p>
          <w:p w:rsidR="00607276" w:rsidRDefault="00607276" w:rsidP="00DA4554">
            <w:pPr>
              <w:pStyle w:val="Encabezado"/>
              <w:tabs>
                <w:tab w:val="left" w:pos="708"/>
              </w:tabs>
              <w:rPr>
                <w:rFonts w:ascii="Palatino Linotype" w:hAnsi="Palatino Linotype"/>
                <w:sz w:val="16"/>
                <w:szCs w:val="16"/>
                <w:lang w:eastAsia="en-US"/>
              </w:rPr>
            </w:pPr>
            <w:r>
              <w:rPr>
                <w:rFonts w:ascii="Palatino Linotype" w:hAnsi="Palatino Linotype"/>
                <w:sz w:val="16"/>
                <w:szCs w:val="16"/>
                <w:lang w:eastAsia="en-US"/>
              </w:rPr>
              <w:t>En los casos de Subvenciones a recibir por la Universidad, deberá adjuntarse documentación acreditativa de su concesión, o previsión.</w:t>
            </w:r>
          </w:p>
          <w:p w:rsidR="00607276" w:rsidRDefault="00607276" w:rsidP="00DA4554">
            <w:pPr>
              <w:ind w:firstLine="0"/>
              <w:rPr>
                <w:rFonts w:ascii="Palatino Linotype" w:hAnsi="Palatino Linotype"/>
                <w:sz w:val="16"/>
                <w:szCs w:val="16"/>
                <w:lang w:eastAsia="en-US"/>
              </w:rPr>
            </w:pPr>
            <w:r>
              <w:rPr>
                <w:rFonts w:ascii="Palatino Linotype" w:hAnsi="Palatino Linotype"/>
                <w:sz w:val="16"/>
                <w:szCs w:val="16"/>
                <w:lang w:eastAsia="en-US"/>
              </w:rPr>
              <w:t>En los supuestos de previsiones de gastos financiados con ingresos, deberán indicarse la vinculación entre fuente de financiación y previsión de gasto, no siendo de aplicación los techos de asignación máxima.</w:t>
            </w:r>
          </w:p>
          <w:p w:rsidR="00607276" w:rsidRDefault="00607276" w:rsidP="00DA4554">
            <w:pPr>
              <w:ind w:firstLine="0"/>
              <w:rPr>
                <w:rFonts w:ascii="Palatino Linotype" w:hAnsi="Palatino Linotype"/>
                <w:sz w:val="20"/>
                <w:lang w:eastAsia="en-US"/>
              </w:rPr>
            </w:pPr>
            <w:r>
              <w:rPr>
                <w:rFonts w:ascii="Palatino Linotype" w:hAnsi="Palatino Linotype"/>
                <w:sz w:val="16"/>
                <w:szCs w:val="16"/>
                <w:lang w:eastAsia="en-US"/>
              </w:rPr>
              <w:t>En todo caso, deberá detallarse previsión de actividades que devenguen percepción de ingresos, con detalle a nivel de previsiones de unidades de usuarios o de actividades a realizar; así como cumplimentándose Ficha de  las tarifas a aplicar.</w:t>
            </w:r>
          </w:p>
        </w:tc>
      </w:tr>
      <w:tr w:rsidR="00607276" w:rsidTr="00DA4554">
        <w:tc>
          <w:tcPr>
            <w:tcW w:w="9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7276" w:rsidRDefault="00607276" w:rsidP="00DA4554">
            <w:pPr>
              <w:pStyle w:val="Encabezado"/>
              <w:tabs>
                <w:tab w:val="left" w:pos="708"/>
              </w:tabs>
              <w:ind w:left="34" w:hanging="34"/>
              <w:jc w:val="center"/>
              <w:rPr>
                <w:rFonts w:ascii="Palatino Linotype" w:hAnsi="Palatino Linotype"/>
                <w:i/>
                <w:sz w:val="20"/>
                <w:lang w:eastAsia="en-US"/>
              </w:rPr>
            </w:pPr>
            <w:r>
              <w:rPr>
                <w:rFonts w:ascii="Palatino Linotype" w:hAnsi="Palatino Linotype"/>
                <w:i/>
                <w:sz w:val="20"/>
                <w:lang w:eastAsia="en-US"/>
              </w:rPr>
              <w:t>BECAS (FICHA 5)</w:t>
            </w:r>
          </w:p>
        </w:tc>
      </w:tr>
      <w:tr w:rsidR="00607276" w:rsidTr="00DA4554">
        <w:tc>
          <w:tcPr>
            <w:tcW w:w="9478" w:type="dxa"/>
            <w:tcBorders>
              <w:top w:val="single" w:sz="4" w:space="0" w:color="auto"/>
              <w:left w:val="single" w:sz="4" w:space="0" w:color="auto"/>
              <w:bottom w:val="single" w:sz="4" w:space="0" w:color="auto"/>
              <w:right w:val="single" w:sz="4" w:space="0" w:color="auto"/>
            </w:tcBorders>
            <w:hideMark/>
          </w:tcPr>
          <w:p w:rsidR="00607276" w:rsidRDefault="00607276" w:rsidP="00DA4554">
            <w:pPr>
              <w:ind w:firstLine="0"/>
              <w:rPr>
                <w:rFonts w:ascii="Palatino Linotype" w:hAnsi="Palatino Linotype"/>
                <w:sz w:val="16"/>
                <w:szCs w:val="16"/>
                <w:lang w:eastAsia="en-US"/>
              </w:rPr>
            </w:pPr>
            <w:r>
              <w:rPr>
                <w:rFonts w:ascii="Palatino Linotype" w:hAnsi="Palatino Linotype"/>
                <w:sz w:val="16"/>
                <w:szCs w:val="16"/>
                <w:lang w:eastAsia="en-US"/>
              </w:rPr>
              <w:t xml:space="preserve">Indicar las Becas previstas a convocar durante el ejercicio </w:t>
            </w:r>
            <w:r w:rsidR="00B327B6">
              <w:rPr>
                <w:rFonts w:ascii="Palatino Linotype" w:hAnsi="Palatino Linotype"/>
                <w:sz w:val="16"/>
                <w:szCs w:val="16"/>
                <w:lang w:eastAsia="en-US"/>
              </w:rPr>
              <w:t>20</w:t>
            </w:r>
            <w:r w:rsidR="00551D37">
              <w:rPr>
                <w:rFonts w:ascii="Palatino Linotype" w:hAnsi="Palatino Linotype"/>
                <w:sz w:val="16"/>
                <w:szCs w:val="16"/>
                <w:lang w:eastAsia="en-US"/>
              </w:rPr>
              <w:t>20</w:t>
            </w:r>
            <w:r>
              <w:rPr>
                <w:rFonts w:ascii="Palatino Linotype" w:hAnsi="Palatino Linotype"/>
                <w:sz w:val="16"/>
                <w:szCs w:val="16"/>
                <w:lang w:eastAsia="en-US"/>
              </w:rPr>
              <w:t xml:space="preserve">, diferentes a las Prácticas de Alumnos gestionadas por el Vicerrector de Estudiantes y </w:t>
            </w:r>
            <w:r w:rsidR="00B53282">
              <w:rPr>
                <w:rFonts w:ascii="Palatino Linotype" w:hAnsi="Palatino Linotype"/>
                <w:sz w:val="16"/>
                <w:szCs w:val="16"/>
                <w:lang w:eastAsia="en-US"/>
              </w:rPr>
              <w:t>Coordinación</w:t>
            </w:r>
            <w:r>
              <w:rPr>
                <w:rFonts w:ascii="Palatino Linotype" w:hAnsi="Palatino Linotype"/>
                <w:sz w:val="16"/>
                <w:szCs w:val="16"/>
                <w:lang w:eastAsia="en-US"/>
              </w:rPr>
              <w:t xml:space="preserve"> (que serán presupuestadas directamente por el propio Vicerrector), diferenciando entre:</w:t>
            </w:r>
          </w:p>
          <w:p w:rsidR="00607276" w:rsidRDefault="00607276" w:rsidP="00607276">
            <w:pPr>
              <w:pStyle w:val="Prrafodelista"/>
              <w:numPr>
                <w:ilvl w:val="0"/>
                <w:numId w:val="13"/>
              </w:numPr>
              <w:rPr>
                <w:rFonts w:ascii="Palatino Linotype" w:hAnsi="Palatino Linotype"/>
                <w:sz w:val="16"/>
                <w:szCs w:val="16"/>
                <w:lang w:eastAsia="en-US"/>
              </w:rPr>
            </w:pPr>
            <w:r>
              <w:rPr>
                <w:rFonts w:ascii="Palatino Linotype" w:hAnsi="Palatino Linotype"/>
                <w:sz w:val="16"/>
                <w:szCs w:val="16"/>
                <w:lang w:eastAsia="en-US"/>
              </w:rPr>
              <w:t>Becas de Colaboración (en partida presupuestaria adscrita a su Unidad Orgánica).</w:t>
            </w:r>
          </w:p>
          <w:p w:rsidR="00607276" w:rsidRDefault="00607276" w:rsidP="00607276">
            <w:pPr>
              <w:pStyle w:val="Prrafodelista"/>
              <w:numPr>
                <w:ilvl w:val="0"/>
                <w:numId w:val="13"/>
              </w:numPr>
              <w:rPr>
                <w:rFonts w:ascii="Palatino Linotype" w:hAnsi="Palatino Linotype"/>
                <w:sz w:val="16"/>
                <w:szCs w:val="16"/>
                <w:lang w:eastAsia="en-US"/>
              </w:rPr>
            </w:pPr>
            <w:r>
              <w:rPr>
                <w:rFonts w:ascii="Palatino Linotype" w:hAnsi="Palatino Linotype"/>
                <w:sz w:val="16"/>
                <w:szCs w:val="16"/>
                <w:lang w:eastAsia="en-US"/>
              </w:rPr>
              <w:t>Becas Formativas Titulados  (solicitud a Gerencia, que serán acumuladas en una única partida presupuestaria central).</w:t>
            </w:r>
          </w:p>
        </w:tc>
      </w:tr>
      <w:tr w:rsidR="00607276" w:rsidTr="00DA4554">
        <w:tc>
          <w:tcPr>
            <w:tcW w:w="9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7276" w:rsidRDefault="00607276" w:rsidP="00DA4554">
            <w:pPr>
              <w:pStyle w:val="Encabezado"/>
              <w:tabs>
                <w:tab w:val="left" w:pos="708"/>
              </w:tabs>
              <w:ind w:left="34" w:hanging="34"/>
              <w:jc w:val="center"/>
              <w:rPr>
                <w:rFonts w:ascii="Palatino Linotype" w:hAnsi="Palatino Linotype"/>
                <w:i/>
                <w:sz w:val="20"/>
                <w:lang w:eastAsia="en-US"/>
              </w:rPr>
            </w:pPr>
            <w:r>
              <w:rPr>
                <w:rFonts w:ascii="Palatino Linotype" w:hAnsi="Palatino Linotype"/>
                <w:i/>
                <w:sz w:val="20"/>
                <w:lang w:eastAsia="en-US"/>
              </w:rPr>
              <w:t>TRANSFERENCIAS  (FICHA 6)</w:t>
            </w:r>
          </w:p>
        </w:tc>
      </w:tr>
      <w:tr w:rsidR="00607276" w:rsidTr="00DA4554">
        <w:tc>
          <w:tcPr>
            <w:tcW w:w="9478" w:type="dxa"/>
            <w:tcBorders>
              <w:top w:val="single" w:sz="4" w:space="0" w:color="auto"/>
              <w:left w:val="single" w:sz="4" w:space="0" w:color="auto"/>
              <w:bottom w:val="single" w:sz="4" w:space="0" w:color="auto"/>
              <w:right w:val="single" w:sz="4" w:space="0" w:color="auto"/>
            </w:tcBorders>
            <w:hideMark/>
          </w:tcPr>
          <w:p w:rsidR="00607276" w:rsidRDefault="00607276" w:rsidP="00551D37">
            <w:pPr>
              <w:ind w:firstLine="0"/>
              <w:rPr>
                <w:rFonts w:ascii="Palatino Linotype" w:hAnsi="Palatino Linotype"/>
                <w:sz w:val="16"/>
                <w:szCs w:val="16"/>
                <w:lang w:eastAsia="en-US"/>
              </w:rPr>
            </w:pPr>
            <w:r>
              <w:rPr>
                <w:rFonts w:ascii="Palatino Linotype" w:hAnsi="Palatino Linotype"/>
                <w:sz w:val="16"/>
                <w:szCs w:val="16"/>
                <w:lang w:eastAsia="en-US"/>
              </w:rPr>
              <w:t xml:space="preserve">Detallar en líneas diferenciadas, detalle de las Subvenciones, Premios y Ayudas que serán convocadas en el ejercicio </w:t>
            </w:r>
            <w:r w:rsidR="00B327B6">
              <w:rPr>
                <w:rFonts w:ascii="Palatino Linotype" w:hAnsi="Palatino Linotype"/>
                <w:sz w:val="16"/>
                <w:szCs w:val="16"/>
                <w:lang w:eastAsia="en-US"/>
              </w:rPr>
              <w:t>20</w:t>
            </w:r>
            <w:r w:rsidR="00551D37">
              <w:rPr>
                <w:rFonts w:ascii="Palatino Linotype" w:hAnsi="Palatino Linotype"/>
                <w:sz w:val="16"/>
                <w:szCs w:val="16"/>
                <w:lang w:eastAsia="en-US"/>
              </w:rPr>
              <w:t>20</w:t>
            </w:r>
            <w:r>
              <w:rPr>
                <w:rFonts w:ascii="Palatino Linotype" w:hAnsi="Palatino Linotype"/>
                <w:sz w:val="16"/>
                <w:szCs w:val="16"/>
                <w:lang w:eastAsia="en-US"/>
              </w:rPr>
              <w:t>, o en su caso, Beneficiario Nominativo de la Línea.</w:t>
            </w:r>
          </w:p>
        </w:tc>
      </w:tr>
      <w:tr w:rsidR="00607276" w:rsidTr="00DA4554">
        <w:tc>
          <w:tcPr>
            <w:tcW w:w="9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7276" w:rsidRDefault="00607276" w:rsidP="00DA4554">
            <w:pPr>
              <w:pStyle w:val="Encabezado"/>
              <w:tabs>
                <w:tab w:val="left" w:pos="708"/>
              </w:tabs>
              <w:ind w:left="34" w:hanging="34"/>
              <w:jc w:val="center"/>
              <w:rPr>
                <w:rFonts w:ascii="Palatino Linotype" w:hAnsi="Palatino Linotype"/>
                <w:i/>
                <w:sz w:val="20"/>
                <w:lang w:eastAsia="en-US"/>
              </w:rPr>
            </w:pPr>
            <w:r>
              <w:rPr>
                <w:rFonts w:ascii="Palatino Linotype" w:hAnsi="Palatino Linotype"/>
                <w:i/>
                <w:sz w:val="20"/>
                <w:lang w:eastAsia="en-US"/>
              </w:rPr>
              <w:t>FINALISTAS (FICHA 7)</w:t>
            </w:r>
          </w:p>
        </w:tc>
      </w:tr>
      <w:tr w:rsidR="00607276" w:rsidTr="00DA4554">
        <w:tc>
          <w:tcPr>
            <w:tcW w:w="9478" w:type="dxa"/>
            <w:tcBorders>
              <w:top w:val="single" w:sz="4" w:space="0" w:color="auto"/>
              <w:left w:val="single" w:sz="4" w:space="0" w:color="auto"/>
              <w:bottom w:val="single" w:sz="4" w:space="0" w:color="auto"/>
              <w:right w:val="single" w:sz="4" w:space="0" w:color="auto"/>
            </w:tcBorders>
            <w:hideMark/>
          </w:tcPr>
          <w:p w:rsidR="00607276" w:rsidRDefault="00607276" w:rsidP="00DA4554">
            <w:pPr>
              <w:ind w:firstLine="0"/>
              <w:rPr>
                <w:rFonts w:ascii="Palatino Linotype" w:hAnsi="Palatino Linotype"/>
                <w:sz w:val="16"/>
                <w:szCs w:val="16"/>
                <w:lang w:eastAsia="en-US"/>
              </w:rPr>
            </w:pPr>
            <w:r>
              <w:rPr>
                <w:rFonts w:ascii="Palatino Linotype" w:hAnsi="Palatino Linotype"/>
                <w:sz w:val="16"/>
                <w:szCs w:val="16"/>
                <w:lang w:eastAsia="en-US"/>
              </w:rPr>
              <w:t>Relacionar los créditos presupuestarios que se soliciten, autofinanciados con los ingresos derivados de la actividad.</w:t>
            </w:r>
          </w:p>
        </w:tc>
      </w:tr>
      <w:tr w:rsidR="00607276" w:rsidTr="00DA4554">
        <w:tc>
          <w:tcPr>
            <w:tcW w:w="9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7276" w:rsidRDefault="00607276" w:rsidP="00DA4554">
            <w:pPr>
              <w:ind w:firstLine="0"/>
              <w:jc w:val="center"/>
              <w:rPr>
                <w:rFonts w:ascii="Palatino Linotype" w:hAnsi="Palatino Linotype"/>
                <w:i/>
                <w:sz w:val="20"/>
                <w:lang w:eastAsia="en-US"/>
              </w:rPr>
            </w:pPr>
            <w:r>
              <w:rPr>
                <w:rFonts w:ascii="Palatino Linotype" w:hAnsi="Palatino Linotype"/>
                <w:i/>
                <w:sz w:val="20"/>
                <w:lang w:eastAsia="en-US"/>
              </w:rPr>
              <w:t>PLANIFICACIÓN PLURIANUAL (FICHA 8)</w:t>
            </w:r>
          </w:p>
        </w:tc>
      </w:tr>
      <w:tr w:rsidR="00607276" w:rsidTr="00DA4554">
        <w:tc>
          <w:tcPr>
            <w:tcW w:w="9478" w:type="dxa"/>
            <w:tcBorders>
              <w:top w:val="single" w:sz="4" w:space="0" w:color="auto"/>
              <w:left w:val="single" w:sz="4" w:space="0" w:color="auto"/>
              <w:bottom w:val="single" w:sz="4" w:space="0" w:color="auto"/>
              <w:right w:val="single" w:sz="4" w:space="0" w:color="auto"/>
            </w:tcBorders>
            <w:hideMark/>
          </w:tcPr>
          <w:p w:rsidR="00607276" w:rsidRDefault="00607276" w:rsidP="00DA4554">
            <w:pPr>
              <w:ind w:firstLine="0"/>
              <w:rPr>
                <w:rFonts w:ascii="Palatino Linotype" w:hAnsi="Palatino Linotype"/>
                <w:sz w:val="16"/>
                <w:szCs w:val="16"/>
                <w:lang w:eastAsia="en-US"/>
              </w:rPr>
            </w:pPr>
            <w:r>
              <w:rPr>
                <w:rFonts w:ascii="Palatino Linotype" w:hAnsi="Palatino Linotype"/>
                <w:sz w:val="16"/>
                <w:szCs w:val="16"/>
                <w:lang w:eastAsia="en-US"/>
              </w:rPr>
              <w:t xml:space="preserve"> Indicar las previsiones de gastos que comprendan su ejecución en más de un ejercicio presupuestario, con detalle de las acciones a desarrollar y el presupuesto para cada anualidad.</w:t>
            </w:r>
          </w:p>
        </w:tc>
      </w:tr>
    </w:tbl>
    <w:p w:rsidR="00607276" w:rsidRDefault="00607276" w:rsidP="00607276">
      <w:pPr>
        <w:pStyle w:val="Encabezado"/>
        <w:tabs>
          <w:tab w:val="left" w:pos="708"/>
        </w:tabs>
        <w:ind w:left="284" w:firstLine="283"/>
        <w:rPr>
          <w:rFonts w:ascii="Palatino Linotype" w:hAnsi="Palatino Linotype"/>
          <w:sz w:val="20"/>
        </w:rPr>
      </w:pPr>
    </w:p>
    <w:p w:rsidR="00607276" w:rsidRDefault="00607276" w:rsidP="00607276">
      <w:pPr>
        <w:ind w:firstLine="708"/>
        <w:rPr>
          <w:rFonts w:ascii="Palatino Linotype" w:hAnsi="Palatino Linotype"/>
          <w:sz w:val="20"/>
        </w:rPr>
      </w:pPr>
      <w:r>
        <w:rPr>
          <w:rFonts w:ascii="Palatino Linotype" w:hAnsi="Palatino Linotype"/>
          <w:sz w:val="20"/>
        </w:rPr>
        <w:t>De acuerdo con el calendario previsto por la Universidad Miguel Hernández para que sea efectiva la aprobación del Presupuesto del 20</w:t>
      </w:r>
      <w:r w:rsidR="00551D37">
        <w:rPr>
          <w:rFonts w:ascii="Palatino Linotype" w:hAnsi="Palatino Linotype"/>
          <w:sz w:val="20"/>
        </w:rPr>
        <w:t>20</w:t>
      </w:r>
      <w:r>
        <w:rPr>
          <w:rFonts w:ascii="Palatino Linotype" w:hAnsi="Palatino Linotype"/>
          <w:sz w:val="20"/>
        </w:rPr>
        <w:t xml:space="preserve"> antes de que finalice el presente ejercicio, la información solicitada habrá de ser remitida a Gerencia antes del próximo </w:t>
      </w:r>
      <w:r>
        <w:rPr>
          <w:rFonts w:ascii="Palatino Linotype" w:hAnsi="Palatino Linotype"/>
          <w:b/>
          <w:sz w:val="20"/>
        </w:rPr>
        <w:t>2</w:t>
      </w:r>
      <w:r w:rsidR="00551D37">
        <w:rPr>
          <w:rFonts w:ascii="Palatino Linotype" w:hAnsi="Palatino Linotype"/>
          <w:b/>
          <w:sz w:val="20"/>
        </w:rPr>
        <w:t>0</w:t>
      </w:r>
      <w:r>
        <w:rPr>
          <w:rFonts w:ascii="Palatino Linotype" w:hAnsi="Palatino Linotype"/>
          <w:b/>
          <w:sz w:val="20"/>
        </w:rPr>
        <w:t xml:space="preserve"> de septiembre</w:t>
      </w:r>
      <w:r>
        <w:rPr>
          <w:rFonts w:ascii="Palatino Linotype" w:hAnsi="Palatino Linotype"/>
          <w:sz w:val="20"/>
        </w:rPr>
        <w:t>.</w:t>
      </w:r>
    </w:p>
    <w:p w:rsidR="00F23E7A" w:rsidRPr="00D60852" w:rsidRDefault="00F23E7A" w:rsidP="00607276">
      <w:pPr>
        <w:ind w:firstLine="708"/>
        <w:rPr>
          <w:rFonts w:ascii="Palatino Linotype" w:hAnsi="Palatino Linotype"/>
          <w:sz w:val="16"/>
          <w:szCs w:val="16"/>
        </w:rPr>
      </w:pPr>
    </w:p>
    <w:sectPr w:rsidR="00F23E7A" w:rsidRPr="00D60852" w:rsidSect="007D46B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E7A" w:rsidRDefault="00F23E7A" w:rsidP="00F23E7A">
      <w:r>
        <w:separator/>
      </w:r>
    </w:p>
  </w:endnote>
  <w:endnote w:type="continuationSeparator" w:id="0">
    <w:p w:rsidR="00F23E7A" w:rsidRDefault="00F23E7A" w:rsidP="00F2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E7A" w:rsidRDefault="00F23E7A" w:rsidP="00F23E7A">
      <w:r>
        <w:separator/>
      </w:r>
    </w:p>
  </w:footnote>
  <w:footnote w:type="continuationSeparator" w:id="0">
    <w:p w:rsidR="00F23E7A" w:rsidRDefault="00F23E7A" w:rsidP="00F23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7A" w:rsidRDefault="00F23E7A" w:rsidP="00F23E7A">
    <w:pPr>
      <w:pStyle w:val="Encabezado"/>
      <w:tabs>
        <w:tab w:val="clear" w:pos="4252"/>
        <w:tab w:val="clear" w:pos="8504"/>
        <w:tab w:val="left" w:pos="930"/>
      </w:tabs>
    </w:pPr>
    <w:r w:rsidRPr="00F23E7A">
      <w:rPr>
        <w:noProof/>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-306705</wp:posOffset>
          </wp:positionV>
          <wp:extent cx="1457325" cy="600075"/>
          <wp:effectExtent l="19050" t="0" r="9525" b="0"/>
          <wp:wrapTight wrapText="bothSides">
            <wp:wrapPolygon edited="0">
              <wp:start x="-282" y="0"/>
              <wp:lineTo x="-282" y="21257"/>
              <wp:lineTo x="21741" y="21257"/>
              <wp:lineTo x="21741" y="0"/>
              <wp:lineTo x="-282" y="0"/>
            </wp:wrapPolygon>
          </wp:wrapTight>
          <wp:docPr id="2"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457325" cy="60007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62D"/>
    <w:multiLevelType w:val="hybridMultilevel"/>
    <w:tmpl w:val="287C78B4"/>
    <w:lvl w:ilvl="0" w:tplc="0C0A0003">
      <w:start w:val="1"/>
      <w:numFmt w:val="bullet"/>
      <w:lvlText w:val="o"/>
      <w:lvlJc w:val="left"/>
      <w:pPr>
        <w:ind w:left="2852" w:hanging="360"/>
      </w:pPr>
      <w:rPr>
        <w:rFonts w:ascii="Courier New" w:hAnsi="Courier New" w:cs="Courier New" w:hint="default"/>
      </w:rPr>
    </w:lvl>
    <w:lvl w:ilvl="1" w:tplc="0C0A0003">
      <w:start w:val="1"/>
      <w:numFmt w:val="bullet"/>
      <w:lvlText w:val="o"/>
      <w:lvlJc w:val="left"/>
      <w:pPr>
        <w:ind w:left="3572" w:hanging="360"/>
      </w:pPr>
      <w:rPr>
        <w:rFonts w:ascii="Courier New" w:hAnsi="Courier New" w:cs="Courier New" w:hint="default"/>
      </w:rPr>
    </w:lvl>
    <w:lvl w:ilvl="2" w:tplc="0C0A0005">
      <w:start w:val="1"/>
      <w:numFmt w:val="bullet"/>
      <w:lvlText w:val=""/>
      <w:lvlJc w:val="left"/>
      <w:pPr>
        <w:ind w:left="4292"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BEC0572"/>
    <w:multiLevelType w:val="hybridMultilevel"/>
    <w:tmpl w:val="E65AC506"/>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18FE7E88"/>
    <w:multiLevelType w:val="hybridMultilevel"/>
    <w:tmpl w:val="FF3C27BE"/>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1BD448A2"/>
    <w:multiLevelType w:val="hybridMultilevel"/>
    <w:tmpl w:val="28FA7D0A"/>
    <w:lvl w:ilvl="0" w:tplc="F22AE23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D4D3FA3"/>
    <w:multiLevelType w:val="hybridMultilevel"/>
    <w:tmpl w:val="08AADC94"/>
    <w:lvl w:ilvl="0" w:tplc="31A2664C">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20F33897"/>
    <w:multiLevelType w:val="hybridMultilevel"/>
    <w:tmpl w:val="85AEC61A"/>
    <w:lvl w:ilvl="0" w:tplc="0C0A0001">
      <w:start w:val="1"/>
      <w:numFmt w:val="bullet"/>
      <w:lvlText w:val=""/>
      <w:lvlJc w:val="left"/>
      <w:pPr>
        <w:ind w:left="2136" w:hanging="360"/>
      </w:pPr>
      <w:rPr>
        <w:rFonts w:ascii="Symbol" w:hAnsi="Symbol"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15:restartNumberingAfterBreak="0">
    <w:nsid w:val="3171078B"/>
    <w:multiLevelType w:val="hybridMultilevel"/>
    <w:tmpl w:val="15A6CF62"/>
    <w:lvl w:ilvl="0" w:tplc="0C0A000B">
      <w:start w:val="1"/>
      <w:numFmt w:val="bullet"/>
      <w:lvlText w:val=""/>
      <w:lvlJc w:val="left"/>
      <w:pPr>
        <w:ind w:left="1485" w:hanging="360"/>
      </w:pPr>
      <w:rPr>
        <w:rFonts w:ascii="Wingdings" w:hAnsi="Wingdings" w:hint="default"/>
      </w:rPr>
    </w:lvl>
    <w:lvl w:ilvl="1" w:tplc="0C0A0003">
      <w:start w:val="1"/>
      <w:numFmt w:val="bullet"/>
      <w:lvlText w:val="o"/>
      <w:lvlJc w:val="left"/>
      <w:pPr>
        <w:ind w:left="2205"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32330074"/>
    <w:multiLevelType w:val="hybridMultilevel"/>
    <w:tmpl w:val="30F8198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80A1BCC"/>
    <w:multiLevelType w:val="hybridMultilevel"/>
    <w:tmpl w:val="68281CF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3AFE4F09"/>
    <w:multiLevelType w:val="hybridMultilevel"/>
    <w:tmpl w:val="88F2395A"/>
    <w:lvl w:ilvl="0" w:tplc="0C0A0001">
      <w:start w:val="1"/>
      <w:numFmt w:val="bullet"/>
      <w:lvlText w:val=""/>
      <w:lvlJc w:val="left"/>
      <w:pPr>
        <w:ind w:left="4309" w:hanging="360"/>
      </w:pPr>
      <w:rPr>
        <w:rFonts w:ascii="Symbol" w:hAnsi="Symbol" w:hint="default"/>
      </w:rPr>
    </w:lvl>
    <w:lvl w:ilvl="1" w:tplc="0C0A0003" w:tentative="1">
      <w:start w:val="1"/>
      <w:numFmt w:val="bullet"/>
      <w:lvlText w:val="o"/>
      <w:lvlJc w:val="left"/>
      <w:pPr>
        <w:ind w:left="5029" w:hanging="360"/>
      </w:pPr>
      <w:rPr>
        <w:rFonts w:ascii="Courier New" w:hAnsi="Courier New" w:cs="Courier New" w:hint="default"/>
      </w:rPr>
    </w:lvl>
    <w:lvl w:ilvl="2" w:tplc="0C0A0005" w:tentative="1">
      <w:start w:val="1"/>
      <w:numFmt w:val="bullet"/>
      <w:lvlText w:val=""/>
      <w:lvlJc w:val="left"/>
      <w:pPr>
        <w:ind w:left="5749" w:hanging="360"/>
      </w:pPr>
      <w:rPr>
        <w:rFonts w:ascii="Wingdings" w:hAnsi="Wingdings" w:hint="default"/>
      </w:rPr>
    </w:lvl>
    <w:lvl w:ilvl="3" w:tplc="0C0A0001" w:tentative="1">
      <w:start w:val="1"/>
      <w:numFmt w:val="bullet"/>
      <w:lvlText w:val=""/>
      <w:lvlJc w:val="left"/>
      <w:pPr>
        <w:ind w:left="6469" w:hanging="360"/>
      </w:pPr>
      <w:rPr>
        <w:rFonts w:ascii="Symbol" w:hAnsi="Symbol" w:hint="default"/>
      </w:rPr>
    </w:lvl>
    <w:lvl w:ilvl="4" w:tplc="0C0A0003" w:tentative="1">
      <w:start w:val="1"/>
      <w:numFmt w:val="bullet"/>
      <w:lvlText w:val="o"/>
      <w:lvlJc w:val="left"/>
      <w:pPr>
        <w:ind w:left="7189" w:hanging="360"/>
      </w:pPr>
      <w:rPr>
        <w:rFonts w:ascii="Courier New" w:hAnsi="Courier New" w:cs="Courier New" w:hint="default"/>
      </w:rPr>
    </w:lvl>
    <w:lvl w:ilvl="5" w:tplc="0C0A0005" w:tentative="1">
      <w:start w:val="1"/>
      <w:numFmt w:val="bullet"/>
      <w:lvlText w:val=""/>
      <w:lvlJc w:val="left"/>
      <w:pPr>
        <w:ind w:left="7909" w:hanging="360"/>
      </w:pPr>
      <w:rPr>
        <w:rFonts w:ascii="Wingdings" w:hAnsi="Wingdings" w:hint="default"/>
      </w:rPr>
    </w:lvl>
    <w:lvl w:ilvl="6" w:tplc="0C0A0001" w:tentative="1">
      <w:start w:val="1"/>
      <w:numFmt w:val="bullet"/>
      <w:lvlText w:val=""/>
      <w:lvlJc w:val="left"/>
      <w:pPr>
        <w:ind w:left="8629" w:hanging="360"/>
      </w:pPr>
      <w:rPr>
        <w:rFonts w:ascii="Symbol" w:hAnsi="Symbol" w:hint="default"/>
      </w:rPr>
    </w:lvl>
    <w:lvl w:ilvl="7" w:tplc="0C0A0003" w:tentative="1">
      <w:start w:val="1"/>
      <w:numFmt w:val="bullet"/>
      <w:lvlText w:val="o"/>
      <w:lvlJc w:val="left"/>
      <w:pPr>
        <w:ind w:left="9349" w:hanging="360"/>
      </w:pPr>
      <w:rPr>
        <w:rFonts w:ascii="Courier New" w:hAnsi="Courier New" w:cs="Courier New" w:hint="default"/>
      </w:rPr>
    </w:lvl>
    <w:lvl w:ilvl="8" w:tplc="0C0A0005" w:tentative="1">
      <w:start w:val="1"/>
      <w:numFmt w:val="bullet"/>
      <w:lvlText w:val=""/>
      <w:lvlJc w:val="left"/>
      <w:pPr>
        <w:ind w:left="10069" w:hanging="360"/>
      </w:pPr>
      <w:rPr>
        <w:rFonts w:ascii="Wingdings" w:hAnsi="Wingdings" w:hint="default"/>
      </w:rPr>
    </w:lvl>
  </w:abstractNum>
  <w:abstractNum w:abstractNumId="10" w15:restartNumberingAfterBreak="0">
    <w:nsid w:val="43957A32"/>
    <w:multiLevelType w:val="hybridMultilevel"/>
    <w:tmpl w:val="0408DF58"/>
    <w:lvl w:ilvl="0" w:tplc="0C0A0001">
      <w:start w:val="1"/>
      <w:numFmt w:val="bullet"/>
      <w:lvlText w:val=""/>
      <w:lvlJc w:val="left"/>
      <w:pPr>
        <w:ind w:left="5054" w:hanging="360"/>
      </w:pPr>
      <w:rPr>
        <w:rFonts w:ascii="Symbol" w:hAnsi="Symbol" w:hint="default"/>
      </w:rPr>
    </w:lvl>
    <w:lvl w:ilvl="1" w:tplc="0C0A0003">
      <w:start w:val="1"/>
      <w:numFmt w:val="bullet"/>
      <w:lvlText w:val="o"/>
      <w:lvlJc w:val="left"/>
      <w:pPr>
        <w:ind w:left="5774" w:hanging="360"/>
      </w:pPr>
      <w:rPr>
        <w:rFonts w:ascii="Courier New" w:hAnsi="Courier New" w:cs="Courier New" w:hint="default"/>
      </w:rPr>
    </w:lvl>
    <w:lvl w:ilvl="2" w:tplc="0C0A0005" w:tentative="1">
      <w:start w:val="1"/>
      <w:numFmt w:val="bullet"/>
      <w:lvlText w:val=""/>
      <w:lvlJc w:val="left"/>
      <w:pPr>
        <w:ind w:left="6494" w:hanging="360"/>
      </w:pPr>
      <w:rPr>
        <w:rFonts w:ascii="Wingdings" w:hAnsi="Wingdings" w:hint="default"/>
      </w:rPr>
    </w:lvl>
    <w:lvl w:ilvl="3" w:tplc="0C0A0001">
      <w:start w:val="1"/>
      <w:numFmt w:val="bullet"/>
      <w:lvlText w:val=""/>
      <w:lvlJc w:val="left"/>
      <w:pPr>
        <w:ind w:left="7214" w:hanging="360"/>
      </w:pPr>
      <w:rPr>
        <w:rFonts w:ascii="Symbol" w:hAnsi="Symbol" w:hint="default"/>
      </w:rPr>
    </w:lvl>
    <w:lvl w:ilvl="4" w:tplc="0C0A0003" w:tentative="1">
      <w:start w:val="1"/>
      <w:numFmt w:val="bullet"/>
      <w:lvlText w:val="o"/>
      <w:lvlJc w:val="left"/>
      <w:pPr>
        <w:ind w:left="7934" w:hanging="360"/>
      </w:pPr>
      <w:rPr>
        <w:rFonts w:ascii="Courier New" w:hAnsi="Courier New" w:cs="Courier New" w:hint="default"/>
      </w:rPr>
    </w:lvl>
    <w:lvl w:ilvl="5" w:tplc="0C0A0005" w:tentative="1">
      <w:start w:val="1"/>
      <w:numFmt w:val="bullet"/>
      <w:lvlText w:val=""/>
      <w:lvlJc w:val="left"/>
      <w:pPr>
        <w:ind w:left="8654" w:hanging="360"/>
      </w:pPr>
      <w:rPr>
        <w:rFonts w:ascii="Wingdings" w:hAnsi="Wingdings" w:hint="default"/>
      </w:rPr>
    </w:lvl>
    <w:lvl w:ilvl="6" w:tplc="0C0A0001" w:tentative="1">
      <w:start w:val="1"/>
      <w:numFmt w:val="bullet"/>
      <w:lvlText w:val=""/>
      <w:lvlJc w:val="left"/>
      <w:pPr>
        <w:ind w:left="9374" w:hanging="360"/>
      </w:pPr>
      <w:rPr>
        <w:rFonts w:ascii="Symbol" w:hAnsi="Symbol" w:hint="default"/>
      </w:rPr>
    </w:lvl>
    <w:lvl w:ilvl="7" w:tplc="0C0A0003" w:tentative="1">
      <w:start w:val="1"/>
      <w:numFmt w:val="bullet"/>
      <w:lvlText w:val="o"/>
      <w:lvlJc w:val="left"/>
      <w:pPr>
        <w:ind w:left="10094" w:hanging="360"/>
      </w:pPr>
      <w:rPr>
        <w:rFonts w:ascii="Courier New" w:hAnsi="Courier New" w:cs="Courier New" w:hint="default"/>
      </w:rPr>
    </w:lvl>
    <w:lvl w:ilvl="8" w:tplc="0C0A0005" w:tentative="1">
      <w:start w:val="1"/>
      <w:numFmt w:val="bullet"/>
      <w:lvlText w:val=""/>
      <w:lvlJc w:val="left"/>
      <w:pPr>
        <w:ind w:left="10814" w:hanging="360"/>
      </w:pPr>
      <w:rPr>
        <w:rFonts w:ascii="Wingdings" w:hAnsi="Wingdings" w:hint="default"/>
      </w:rPr>
    </w:lvl>
  </w:abstractNum>
  <w:abstractNum w:abstractNumId="11" w15:restartNumberingAfterBreak="0">
    <w:nsid w:val="51765AA6"/>
    <w:multiLevelType w:val="hybridMultilevel"/>
    <w:tmpl w:val="964A0BB0"/>
    <w:lvl w:ilvl="0" w:tplc="0C0A0001">
      <w:start w:val="1"/>
      <w:numFmt w:val="bullet"/>
      <w:lvlText w:val=""/>
      <w:lvlJc w:val="left"/>
      <w:pPr>
        <w:ind w:left="1920" w:hanging="360"/>
      </w:pPr>
      <w:rPr>
        <w:rFonts w:ascii="Symbol" w:hAnsi="Symbol" w:hint="default"/>
      </w:rPr>
    </w:lvl>
    <w:lvl w:ilvl="1" w:tplc="0C0A0003">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2" w15:restartNumberingAfterBreak="0">
    <w:nsid w:val="55D33C79"/>
    <w:multiLevelType w:val="hybridMultilevel"/>
    <w:tmpl w:val="6F1AAD0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3" w15:restartNumberingAfterBreak="0">
    <w:nsid w:val="57FE01C5"/>
    <w:multiLevelType w:val="hybridMultilevel"/>
    <w:tmpl w:val="18CCA6A6"/>
    <w:lvl w:ilvl="0" w:tplc="0C0A0001">
      <w:start w:val="1"/>
      <w:numFmt w:val="bullet"/>
      <w:lvlText w:val=""/>
      <w:lvlJc w:val="left"/>
      <w:pPr>
        <w:ind w:left="2560" w:hanging="360"/>
      </w:pPr>
      <w:rPr>
        <w:rFonts w:ascii="Symbol" w:hAnsi="Symbol" w:hint="default"/>
      </w:rPr>
    </w:lvl>
    <w:lvl w:ilvl="1" w:tplc="0C0A0003">
      <w:start w:val="1"/>
      <w:numFmt w:val="bullet"/>
      <w:lvlText w:val="o"/>
      <w:lvlJc w:val="left"/>
      <w:pPr>
        <w:ind w:left="3280" w:hanging="360"/>
      </w:pPr>
      <w:rPr>
        <w:rFonts w:ascii="Courier New" w:hAnsi="Courier New" w:cs="Courier New" w:hint="default"/>
      </w:rPr>
    </w:lvl>
    <w:lvl w:ilvl="2" w:tplc="0C0A0005" w:tentative="1">
      <w:start w:val="1"/>
      <w:numFmt w:val="bullet"/>
      <w:lvlText w:val=""/>
      <w:lvlJc w:val="left"/>
      <w:pPr>
        <w:ind w:left="4000" w:hanging="360"/>
      </w:pPr>
      <w:rPr>
        <w:rFonts w:ascii="Wingdings" w:hAnsi="Wingdings" w:hint="default"/>
      </w:rPr>
    </w:lvl>
    <w:lvl w:ilvl="3" w:tplc="0C0A0001" w:tentative="1">
      <w:start w:val="1"/>
      <w:numFmt w:val="bullet"/>
      <w:lvlText w:val=""/>
      <w:lvlJc w:val="left"/>
      <w:pPr>
        <w:ind w:left="4720" w:hanging="360"/>
      </w:pPr>
      <w:rPr>
        <w:rFonts w:ascii="Symbol" w:hAnsi="Symbol" w:hint="default"/>
      </w:rPr>
    </w:lvl>
    <w:lvl w:ilvl="4" w:tplc="0C0A0003" w:tentative="1">
      <w:start w:val="1"/>
      <w:numFmt w:val="bullet"/>
      <w:lvlText w:val="o"/>
      <w:lvlJc w:val="left"/>
      <w:pPr>
        <w:ind w:left="5440" w:hanging="360"/>
      </w:pPr>
      <w:rPr>
        <w:rFonts w:ascii="Courier New" w:hAnsi="Courier New" w:cs="Courier New" w:hint="default"/>
      </w:rPr>
    </w:lvl>
    <w:lvl w:ilvl="5" w:tplc="0C0A0005" w:tentative="1">
      <w:start w:val="1"/>
      <w:numFmt w:val="bullet"/>
      <w:lvlText w:val=""/>
      <w:lvlJc w:val="left"/>
      <w:pPr>
        <w:ind w:left="6160" w:hanging="360"/>
      </w:pPr>
      <w:rPr>
        <w:rFonts w:ascii="Wingdings" w:hAnsi="Wingdings" w:hint="default"/>
      </w:rPr>
    </w:lvl>
    <w:lvl w:ilvl="6" w:tplc="0C0A0001" w:tentative="1">
      <w:start w:val="1"/>
      <w:numFmt w:val="bullet"/>
      <w:lvlText w:val=""/>
      <w:lvlJc w:val="left"/>
      <w:pPr>
        <w:ind w:left="6880" w:hanging="360"/>
      </w:pPr>
      <w:rPr>
        <w:rFonts w:ascii="Symbol" w:hAnsi="Symbol" w:hint="default"/>
      </w:rPr>
    </w:lvl>
    <w:lvl w:ilvl="7" w:tplc="0C0A0003" w:tentative="1">
      <w:start w:val="1"/>
      <w:numFmt w:val="bullet"/>
      <w:lvlText w:val="o"/>
      <w:lvlJc w:val="left"/>
      <w:pPr>
        <w:ind w:left="7600" w:hanging="360"/>
      </w:pPr>
      <w:rPr>
        <w:rFonts w:ascii="Courier New" w:hAnsi="Courier New" w:cs="Courier New" w:hint="default"/>
      </w:rPr>
    </w:lvl>
    <w:lvl w:ilvl="8" w:tplc="0C0A0005" w:tentative="1">
      <w:start w:val="1"/>
      <w:numFmt w:val="bullet"/>
      <w:lvlText w:val=""/>
      <w:lvlJc w:val="left"/>
      <w:pPr>
        <w:ind w:left="8320" w:hanging="360"/>
      </w:pPr>
      <w:rPr>
        <w:rFonts w:ascii="Wingdings" w:hAnsi="Wingdings" w:hint="default"/>
      </w:rPr>
    </w:lvl>
  </w:abstractNum>
  <w:abstractNum w:abstractNumId="14" w15:restartNumberingAfterBreak="0">
    <w:nsid w:val="69047C0D"/>
    <w:multiLevelType w:val="multilevel"/>
    <w:tmpl w:val="A658F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47A4AB5"/>
    <w:multiLevelType w:val="hybridMultilevel"/>
    <w:tmpl w:val="729E9A12"/>
    <w:lvl w:ilvl="0" w:tplc="0C0A0003">
      <w:start w:val="1"/>
      <w:numFmt w:val="bullet"/>
      <w:lvlText w:val="o"/>
      <w:lvlJc w:val="left"/>
      <w:pPr>
        <w:ind w:left="2852" w:hanging="360"/>
      </w:pPr>
      <w:rPr>
        <w:rFonts w:ascii="Courier New" w:hAnsi="Courier New" w:cs="Courier New" w:hint="default"/>
      </w:rPr>
    </w:lvl>
    <w:lvl w:ilvl="1" w:tplc="0C0A0003">
      <w:start w:val="1"/>
      <w:numFmt w:val="bullet"/>
      <w:lvlText w:val="o"/>
      <w:lvlJc w:val="left"/>
      <w:pPr>
        <w:ind w:left="3572" w:hanging="360"/>
      </w:pPr>
      <w:rPr>
        <w:rFonts w:ascii="Courier New" w:hAnsi="Courier New" w:cs="Courier New" w:hint="default"/>
      </w:rPr>
    </w:lvl>
    <w:lvl w:ilvl="2" w:tplc="0C0A0005">
      <w:start w:val="1"/>
      <w:numFmt w:val="bullet"/>
      <w:lvlText w:val=""/>
      <w:lvlJc w:val="left"/>
      <w:pPr>
        <w:ind w:left="4292"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0"/>
  </w:num>
  <w:num w:numId="2">
    <w:abstractNumId w:val="2"/>
  </w:num>
  <w:num w:numId="3">
    <w:abstractNumId w:val="13"/>
  </w:num>
  <w:num w:numId="4">
    <w:abstractNumId w:val="9"/>
  </w:num>
  <w:num w:numId="5">
    <w:abstractNumId w:val="1"/>
  </w:num>
  <w:num w:numId="6">
    <w:abstractNumId w:val="3"/>
  </w:num>
  <w:num w:numId="7">
    <w:abstractNumId w:val="12"/>
  </w:num>
  <w:num w:numId="8">
    <w:abstractNumId w:val="4"/>
  </w:num>
  <w:num w:numId="9">
    <w:abstractNumId w:val="8"/>
  </w:num>
  <w:num w:numId="10">
    <w:abstractNumId w:val="11"/>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7A"/>
    <w:rsid w:val="00031C3F"/>
    <w:rsid w:val="000A1A87"/>
    <w:rsid w:val="001B6361"/>
    <w:rsid w:val="002D6FA6"/>
    <w:rsid w:val="00306C65"/>
    <w:rsid w:val="003A2974"/>
    <w:rsid w:val="003F62C1"/>
    <w:rsid w:val="00551D37"/>
    <w:rsid w:val="00566D17"/>
    <w:rsid w:val="00585225"/>
    <w:rsid w:val="005C2933"/>
    <w:rsid w:val="00607276"/>
    <w:rsid w:val="006A7ED4"/>
    <w:rsid w:val="007D46B7"/>
    <w:rsid w:val="00891792"/>
    <w:rsid w:val="00902AD2"/>
    <w:rsid w:val="00A1404E"/>
    <w:rsid w:val="00AD491F"/>
    <w:rsid w:val="00AE3143"/>
    <w:rsid w:val="00B0240D"/>
    <w:rsid w:val="00B13D0C"/>
    <w:rsid w:val="00B327B6"/>
    <w:rsid w:val="00B53282"/>
    <w:rsid w:val="00B84636"/>
    <w:rsid w:val="00BD338C"/>
    <w:rsid w:val="00C844D7"/>
    <w:rsid w:val="00D479E9"/>
    <w:rsid w:val="00E433D8"/>
    <w:rsid w:val="00ED0EC4"/>
    <w:rsid w:val="00F23E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2B9F4"/>
  <w15:docId w15:val="{3C5BDE85-C258-4140-A818-668E72C5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7A"/>
    <w:pPr>
      <w:spacing w:after="0" w:line="240" w:lineRule="auto"/>
      <w:ind w:firstLine="709"/>
      <w:jc w:val="both"/>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23E7A"/>
    <w:pPr>
      <w:tabs>
        <w:tab w:val="center" w:pos="4252"/>
        <w:tab w:val="right" w:pos="8504"/>
      </w:tabs>
      <w:ind w:firstLine="0"/>
    </w:pPr>
  </w:style>
  <w:style w:type="character" w:customStyle="1" w:styleId="EncabezadoCar">
    <w:name w:val="Encabezado Car"/>
    <w:basedOn w:val="Fuentedeprrafopredeter"/>
    <w:link w:val="Encabezado"/>
    <w:uiPriority w:val="99"/>
    <w:rsid w:val="00F23E7A"/>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F23E7A"/>
    <w:pPr>
      <w:ind w:left="708"/>
    </w:pPr>
    <w:rPr>
      <w:lang w:val="es-ES_tradnl"/>
    </w:rPr>
  </w:style>
  <w:style w:type="table" w:styleId="Tablaconcuadrcula">
    <w:name w:val="Table Grid"/>
    <w:basedOn w:val="Tablanormal"/>
    <w:uiPriority w:val="59"/>
    <w:rsid w:val="00F2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semiHidden/>
    <w:unhideWhenUsed/>
    <w:rsid w:val="00F23E7A"/>
    <w:pPr>
      <w:tabs>
        <w:tab w:val="center" w:pos="4252"/>
        <w:tab w:val="right" w:pos="8504"/>
      </w:tabs>
    </w:pPr>
  </w:style>
  <w:style w:type="character" w:customStyle="1" w:styleId="PiedepginaCar">
    <w:name w:val="Pie de página Car"/>
    <w:basedOn w:val="Fuentedeprrafopredeter"/>
    <w:link w:val="Piedepgina"/>
    <w:uiPriority w:val="99"/>
    <w:semiHidden/>
    <w:rsid w:val="00F23E7A"/>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F23E7A"/>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E7A"/>
    <w:rPr>
      <w:rFonts w:ascii="Tahoma" w:eastAsia="Times New Roman" w:hAnsi="Tahoma" w:cs="Tahoma"/>
      <w:sz w:val="16"/>
      <w:szCs w:val="16"/>
      <w:lang w:eastAsia="es-ES"/>
    </w:rPr>
  </w:style>
  <w:style w:type="paragraph" w:customStyle="1" w:styleId="FIRMA">
    <w:name w:val="FIRMA"/>
    <w:basedOn w:val="Normal"/>
    <w:rsid w:val="00B0240D"/>
    <w:pPr>
      <w:ind w:firstLine="0"/>
      <w:jc w:val="center"/>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1802</Words>
  <Characters>9917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j.reche</dc:creator>
  <cp:lastModifiedBy>Peñas Pascual, Raquel</cp:lastModifiedBy>
  <cp:revision>8</cp:revision>
  <cp:lastPrinted>2019-07-26T09:38:00Z</cp:lastPrinted>
  <dcterms:created xsi:type="dcterms:W3CDTF">2018-07-31T09:35:00Z</dcterms:created>
  <dcterms:modified xsi:type="dcterms:W3CDTF">2019-07-29T11:46:00Z</dcterms:modified>
</cp:coreProperties>
</file>