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11" w:rsidRDefault="00CA2711" w:rsidP="00CA2711">
      <w:pPr>
        <w:spacing w:before="120" w:after="120"/>
        <w:jc w:val="both"/>
        <w:rPr>
          <w:rFonts w:ascii="Verdana" w:hAnsi="Verdana" w:cs="Verdana"/>
          <w:b/>
          <w:bCs/>
          <w:sz w:val="28"/>
          <w:szCs w:val="28"/>
        </w:rPr>
      </w:pPr>
      <w:r w:rsidRPr="001B081F">
        <w:rPr>
          <w:rFonts w:ascii="Verdana" w:hAnsi="Verdana" w:cs="Verdana"/>
          <w:b/>
          <w:bCs/>
          <w:sz w:val="28"/>
          <w:szCs w:val="28"/>
        </w:rPr>
        <w:t>LOS PRESUPUESTOS DE LA UNIVERSIDAD PARA</w:t>
      </w:r>
      <w:r w:rsidR="00FB5E74">
        <w:rPr>
          <w:rFonts w:ascii="Verdana" w:hAnsi="Verdana" w:cs="Verdana"/>
          <w:b/>
          <w:bCs/>
          <w:sz w:val="28"/>
          <w:szCs w:val="28"/>
        </w:rPr>
        <w:t xml:space="preserve"> EL EJERCICIO 2019</w:t>
      </w:r>
    </w:p>
    <w:p w:rsidR="00CA2711" w:rsidRPr="001B081F" w:rsidRDefault="00CA2711" w:rsidP="00CA2711">
      <w:pPr>
        <w:ind w:firstLine="709"/>
        <w:jc w:val="both"/>
        <w:rPr>
          <w:rFonts w:ascii="Verdana" w:hAnsi="Verdana" w:cs="Verdana"/>
          <w:sz w:val="22"/>
          <w:szCs w:val="22"/>
        </w:rPr>
      </w:pPr>
    </w:p>
    <w:p w:rsidR="00D654FF" w:rsidRDefault="00CA2711" w:rsidP="00D654FF">
      <w:pPr>
        <w:ind w:firstLine="709"/>
        <w:jc w:val="both"/>
        <w:rPr>
          <w:rFonts w:eastAsia="Arial Unicode MS" w:cs="Arial"/>
        </w:rPr>
      </w:pPr>
      <w:r w:rsidRPr="00D654FF">
        <w:rPr>
          <w:rFonts w:eastAsia="Arial Unicode MS" w:cs="Arial"/>
        </w:rPr>
        <w:t>El pr</w:t>
      </w:r>
      <w:r w:rsidR="00FB5E74" w:rsidRPr="00D654FF">
        <w:rPr>
          <w:rFonts w:eastAsia="Arial Unicode MS" w:cs="Arial"/>
        </w:rPr>
        <w:t>esupuesto para el ejercicio 2019</w:t>
      </w:r>
      <w:r w:rsidRPr="00D654FF">
        <w:rPr>
          <w:rFonts w:eastAsia="Arial Unicode MS" w:cs="Arial"/>
        </w:rPr>
        <w:t xml:space="preserve"> fue aprobado por el Consejo de Gobierno de la Universidad Miguel Hernández, </w:t>
      </w:r>
      <w:r w:rsidR="00FB5E74" w:rsidRPr="00D654FF">
        <w:rPr>
          <w:rFonts w:eastAsia="Arial Unicode MS" w:cs="Arial"/>
        </w:rPr>
        <w:t>en la sesión celebrada el día 3</w:t>
      </w:r>
      <w:r w:rsidRPr="00D654FF">
        <w:rPr>
          <w:rFonts w:eastAsia="Arial Unicode MS" w:cs="Arial"/>
        </w:rPr>
        <w:t xml:space="preserve"> de </w:t>
      </w:r>
      <w:r w:rsidR="00FB5E74" w:rsidRPr="00D654FF">
        <w:rPr>
          <w:rFonts w:eastAsia="Arial Unicode MS" w:cs="Arial"/>
        </w:rPr>
        <w:t>diciembre</w:t>
      </w:r>
      <w:r w:rsidR="00593655" w:rsidRPr="00D654FF">
        <w:rPr>
          <w:rFonts w:eastAsia="Arial Unicode MS" w:cs="Arial"/>
        </w:rPr>
        <w:t xml:space="preserve"> de 201</w:t>
      </w:r>
      <w:r w:rsidR="00FB5E74" w:rsidRPr="00D654FF">
        <w:rPr>
          <w:rFonts w:eastAsia="Arial Unicode MS" w:cs="Arial"/>
        </w:rPr>
        <w:t>8</w:t>
      </w:r>
      <w:r w:rsidRPr="00D654FF">
        <w:rPr>
          <w:rFonts w:eastAsia="Arial Unicode MS" w:cs="Arial"/>
        </w:rPr>
        <w:t>, y por el Consejo Social de la Universidad, en su sesión del día 19 de diciembre de 201</w:t>
      </w:r>
      <w:r w:rsidR="00FB5E74" w:rsidRPr="00D654FF">
        <w:rPr>
          <w:rFonts w:eastAsia="Arial Unicode MS" w:cs="Arial"/>
        </w:rPr>
        <w:t>8</w:t>
      </w:r>
      <w:r w:rsidRPr="00D654FF">
        <w:rPr>
          <w:rFonts w:eastAsia="Arial Unicode MS" w:cs="Arial"/>
        </w:rPr>
        <w:t xml:space="preserve">. Dicho presupuesto ascendió a la cantidad de </w:t>
      </w:r>
      <w:r w:rsidR="00FB5E74" w:rsidRPr="00D654FF">
        <w:rPr>
          <w:rFonts w:eastAsia="Arial Unicode MS" w:cs="Arial"/>
        </w:rPr>
        <w:t>106.191.255,52 euros.</w:t>
      </w:r>
      <w:r w:rsidR="00D654FF" w:rsidRPr="00D654FF">
        <w:rPr>
          <w:rFonts w:eastAsia="Arial Unicode MS" w:cs="Arial"/>
        </w:rPr>
        <w:t xml:space="preserve"> </w:t>
      </w:r>
      <w:r w:rsidR="00D654FF">
        <w:rPr>
          <w:rFonts w:eastAsia="Arial Unicode MS" w:cs="Arial"/>
        </w:rPr>
        <w:t>Esto supone una disminución del 3,13 % en las cifras totales con respecto al ejercicio anterior.</w:t>
      </w:r>
    </w:p>
    <w:p w:rsidR="004E65E8" w:rsidRDefault="004E65E8" w:rsidP="00D654FF">
      <w:pPr>
        <w:ind w:firstLine="709"/>
        <w:jc w:val="both"/>
        <w:rPr>
          <w:rFonts w:eastAsia="Arial Unicode MS" w:cs="Arial"/>
        </w:rPr>
      </w:pPr>
    </w:p>
    <w:p w:rsidR="00D654FF" w:rsidRDefault="00D654FF" w:rsidP="00D654FF">
      <w:pPr>
        <w:ind w:firstLine="709"/>
        <w:jc w:val="both"/>
        <w:rPr>
          <w:rFonts w:eastAsia="Arial Unicode MS" w:cs="Arial"/>
        </w:rPr>
      </w:pPr>
      <w:r>
        <w:rPr>
          <w:rFonts w:eastAsia="Arial Unicode MS" w:cs="Arial"/>
        </w:rPr>
        <w:t>No obstante, la reducción del Presupuesto viene motivada principalmente por la minoración de dos partidas de transferencias de capital provenientes de la Generalitat Valenciana (GV): la destinada a financiar la construcción del Edificio Departamental incluida en el Convenio de Inversiones según su planificación en ejecución, y también la reducción en las dotaciones necesarias para la amortización de los préstamos a largo plazo firmados por el BEI, que entre ambas suponen 6,4 M menos. Si se elimina el efecto de estas dos partidas de financiación directa, el resto de los conceptos de ingresos del Presupuesto del 2019 se incrementan en una cifra próxima a los tres millones, suponiendo un crecimiento del Presupuesto Operativo en un 3% respecto al anterior; destacando en este incremento, las siguientes dotaciones más significativas:</w:t>
      </w:r>
    </w:p>
    <w:p w:rsidR="00D654FF" w:rsidRDefault="00D654FF" w:rsidP="00D654FF">
      <w:pPr>
        <w:ind w:firstLine="709"/>
        <w:jc w:val="both"/>
        <w:rPr>
          <w:rFonts w:eastAsia="Arial Unicode MS" w:cs="Arial"/>
        </w:rPr>
      </w:pPr>
    </w:p>
    <w:p w:rsidR="00D654FF" w:rsidRDefault="00D654FF" w:rsidP="00D654FF">
      <w:pPr>
        <w:numPr>
          <w:ilvl w:val="0"/>
          <w:numId w:val="2"/>
        </w:numPr>
        <w:jc w:val="both"/>
        <w:rPr>
          <w:rFonts w:eastAsia="Arial Unicode MS" w:cs="Arial"/>
        </w:rPr>
      </w:pPr>
      <w:r>
        <w:rPr>
          <w:rFonts w:eastAsia="Arial Unicode MS" w:cs="Arial"/>
        </w:rPr>
        <w:t>Reducción acumulada de un 15% de los precios públicos de las matrículas Universitarias, compensada por la GV.</w:t>
      </w:r>
    </w:p>
    <w:p w:rsidR="00D654FF" w:rsidRDefault="00D654FF" w:rsidP="00D654FF">
      <w:pPr>
        <w:numPr>
          <w:ilvl w:val="0"/>
          <w:numId w:val="2"/>
        </w:numPr>
        <w:jc w:val="both"/>
        <w:rPr>
          <w:rFonts w:eastAsia="Arial Unicode MS" w:cs="Arial"/>
        </w:rPr>
      </w:pPr>
      <w:r>
        <w:rPr>
          <w:rFonts w:eastAsia="Arial Unicode MS" w:cs="Arial"/>
        </w:rPr>
        <w:t>Aportaciones para la mejora de las condiciones laborales del PDI y del PAS.</w:t>
      </w:r>
    </w:p>
    <w:p w:rsidR="00D654FF" w:rsidRDefault="00D654FF" w:rsidP="00D654FF">
      <w:pPr>
        <w:numPr>
          <w:ilvl w:val="0"/>
          <w:numId w:val="2"/>
        </w:numPr>
        <w:jc w:val="both"/>
        <w:rPr>
          <w:rFonts w:eastAsia="Arial Unicode MS" w:cs="Arial"/>
        </w:rPr>
      </w:pPr>
      <w:r>
        <w:rPr>
          <w:rFonts w:eastAsia="Arial Unicode MS" w:cs="Arial"/>
        </w:rPr>
        <w:t>Consolidación del Reconocimiento de la Carrera Profesional del Personal (Quinquenios, Sexenios, y Progresión Profesional), además de la incorporación progresiva en los presupuestos de la GV de la compensación por los costes derivados de la aplicación de normativas estatales y autonómicas que nuestra Universidad ha estado asumiendo en estos últimos años con financiación propia.</w:t>
      </w:r>
    </w:p>
    <w:p w:rsidR="00D654FF" w:rsidRDefault="00D654FF" w:rsidP="00D654FF">
      <w:pPr>
        <w:ind w:firstLine="709"/>
        <w:jc w:val="both"/>
        <w:rPr>
          <w:rFonts w:eastAsia="Arial Unicode MS" w:cs="Arial"/>
        </w:rPr>
      </w:pPr>
    </w:p>
    <w:p w:rsidR="00D654FF" w:rsidRDefault="00D654FF" w:rsidP="00D654FF">
      <w:pPr>
        <w:ind w:firstLine="708"/>
        <w:jc w:val="both"/>
        <w:rPr>
          <w:rFonts w:eastAsia="Times New Roman" w:cs="Arial"/>
        </w:rPr>
      </w:pPr>
      <w:r>
        <w:rPr>
          <w:rFonts w:eastAsia="Arial Unicode MS" w:cs="Arial"/>
        </w:rPr>
        <w:t xml:space="preserve">El presupuesto de 2019 incorpora un conjunto de acciones en distintos ámbitos de actuación. Algunos de ellos son: </w:t>
      </w:r>
    </w:p>
    <w:p w:rsidR="00D654FF" w:rsidRDefault="00D654FF" w:rsidP="00D654FF">
      <w:pPr>
        <w:ind w:firstLine="567"/>
        <w:jc w:val="both"/>
        <w:rPr>
          <w:rFonts w:eastAsia="Arial Unicode MS" w:cs="Arial"/>
        </w:rPr>
      </w:pPr>
    </w:p>
    <w:p w:rsidR="00D654FF" w:rsidRDefault="00D654FF" w:rsidP="00D654FF">
      <w:pPr>
        <w:numPr>
          <w:ilvl w:val="0"/>
          <w:numId w:val="3"/>
        </w:numPr>
        <w:ind w:left="709"/>
        <w:jc w:val="both"/>
        <w:rPr>
          <w:rFonts w:eastAsia="Times New Roman" w:cs="Arial"/>
        </w:rPr>
      </w:pPr>
      <w:r>
        <w:rPr>
          <w:rFonts w:eastAsia="Times New Roman" w:cs="Arial"/>
        </w:rPr>
        <w:t>Las líneas presupuestarias destinadas a nuestros estudiantes, tanto con financiación aportada por la Universidad,  como con recursos del Ministerio de Educación y Formación Profesional y de la propia Conselleria de Educación, Cultura y Deporte disponen de una dotación superior a los nueve millones y medio de euros, que incluye entre sus líneas principales todos los programas de becas a estudiantes para su matriculación, familia numerosa, discapacidad, movilidad, comedor, así como para la colaboración de los alumnos en las actividades de la Universidad, un Programa de prácticas para el fomento de la investigación y otras acciones para favorecer la inserción laboral. En conjunto se incrementan en un 19%.</w:t>
      </w:r>
    </w:p>
    <w:p w:rsidR="00D654FF" w:rsidRDefault="00D654FF" w:rsidP="00D654FF">
      <w:pPr>
        <w:ind w:left="709"/>
        <w:jc w:val="both"/>
        <w:rPr>
          <w:rFonts w:eastAsia="Times New Roman" w:cs="Arial"/>
        </w:rPr>
      </w:pPr>
    </w:p>
    <w:p w:rsidR="00D654FF" w:rsidRDefault="00D654FF" w:rsidP="00D654FF">
      <w:pPr>
        <w:numPr>
          <w:ilvl w:val="0"/>
          <w:numId w:val="3"/>
        </w:numPr>
        <w:ind w:left="709"/>
        <w:jc w:val="both"/>
        <w:rPr>
          <w:rFonts w:eastAsia="Times New Roman" w:cs="Arial"/>
        </w:rPr>
      </w:pPr>
      <w:r>
        <w:rPr>
          <w:rFonts w:eastAsia="Times New Roman" w:cs="Arial"/>
        </w:rPr>
        <w:t xml:space="preserve">Las dotaciones destinadas la Investigación, coordinadas por el Vicerrectorado de Investigación e Innovación, superan los ocho millones cuatrocientos mil euros, significando un incremento cercano al millón y medio respecto al año anterior. Contiene distintas líneas de fomento y apoyo a la investigación como: Iniciación a la investigación, ayudas a la transferencia tecnológica, ayudas a la adquisición de equipamientos, ayudas a la difusión científica, y ayudas a la formación de personal investigador; </w:t>
      </w:r>
    </w:p>
    <w:p w:rsidR="00D654FF" w:rsidRDefault="00D654FF" w:rsidP="00D654FF">
      <w:pPr>
        <w:ind w:left="349"/>
        <w:jc w:val="both"/>
        <w:rPr>
          <w:rFonts w:eastAsia="Times New Roman" w:cs="Arial"/>
        </w:rPr>
      </w:pPr>
    </w:p>
    <w:p w:rsidR="00D654FF" w:rsidRDefault="00D654FF" w:rsidP="00D654FF">
      <w:pPr>
        <w:numPr>
          <w:ilvl w:val="0"/>
          <w:numId w:val="3"/>
        </w:numPr>
        <w:ind w:left="709"/>
        <w:jc w:val="both"/>
        <w:rPr>
          <w:rFonts w:eastAsia="Times New Roman" w:cs="Arial"/>
        </w:rPr>
      </w:pPr>
      <w:r>
        <w:rPr>
          <w:rFonts w:eastAsia="Times New Roman" w:cs="Arial"/>
        </w:rPr>
        <w:t xml:space="preserve">Las dotaciones destinadas a financiar las acciones internacionales coordinadas por el Vicerrectorado de Relaciones Internacionales, superan en conjunto el millón y medio de euros, reflejando una apuesta decidida de la Institución por la proyección internacional de sus estudiantes y personal. Estas acciones se centran en el impulso a la internacionalización de los Estudios, implantación de Programas Piloto de Formación en Universidades Internacionales, en los programas de intercambio de estudiantes, profesores y personal de administración y servicios, y en el fomento de la formación del idioma inglés entre sus estudiantes y personal a través del Programa IRIS con una dotación superior a los 150.000 Euros. En este presupuesto se incluyen aportaciones para la cooperación al desarrollo y actividades de ámbito solidario, destinadas entre otras, a las escuelas de </w:t>
      </w:r>
      <w:proofErr w:type="spellStart"/>
      <w:r>
        <w:rPr>
          <w:rFonts w:eastAsia="Times New Roman" w:cs="Arial"/>
        </w:rPr>
        <w:t>Nemba</w:t>
      </w:r>
      <w:proofErr w:type="spellEnd"/>
      <w:r>
        <w:rPr>
          <w:rFonts w:eastAsia="Times New Roman" w:cs="Arial"/>
        </w:rPr>
        <w:t xml:space="preserve"> (Ruanda).</w:t>
      </w:r>
    </w:p>
    <w:p w:rsidR="00D654FF" w:rsidRDefault="00D654FF" w:rsidP="00D654FF">
      <w:pPr>
        <w:ind w:left="709"/>
        <w:jc w:val="both"/>
        <w:rPr>
          <w:rFonts w:eastAsia="Times New Roman" w:cs="Arial"/>
        </w:rPr>
      </w:pPr>
    </w:p>
    <w:p w:rsidR="00D654FF" w:rsidRDefault="00D654FF" w:rsidP="00D654FF">
      <w:pPr>
        <w:numPr>
          <w:ilvl w:val="0"/>
          <w:numId w:val="3"/>
        </w:numPr>
        <w:ind w:left="709"/>
        <w:jc w:val="both"/>
        <w:rPr>
          <w:rFonts w:eastAsia="Times New Roman" w:cs="Arial"/>
        </w:rPr>
      </w:pPr>
      <w:r>
        <w:rPr>
          <w:rFonts w:eastAsia="Times New Roman" w:cs="Arial"/>
        </w:rPr>
        <w:t>El Vicerrectorado de Cultura y Extensión Universitaria destina sus dotaciones presupuestarias para fomentar el desarrollo de actividades de formación y promoción en materia de igualdad, convocatorias de becas y premios destinados a promover acciones de cultura, entre otros. Para acciones relacionadas el uso del valenciano se destinan 261.540 euros, que incluyen una dotación específica de casi 110.000 euros para el Proyecto LLUMH de formación en valenciano.</w:t>
      </w:r>
    </w:p>
    <w:p w:rsidR="00D654FF" w:rsidRDefault="00D654FF" w:rsidP="00D654FF">
      <w:pPr>
        <w:ind w:left="720"/>
        <w:jc w:val="both"/>
        <w:rPr>
          <w:rFonts w:ascii="Calibri" w:eastAsia="Times New Roman" w:hAnsi="Calibri" w:cs="Arial"/>
          <w:szCs w:val="22"/>
        </w:rPr>
      </w:pPr>
    </w:p>
    <w:p w:rsidR="00D654FF" w:rsidRDefault="00D654FF" w:rsidP="00D654FF">
      <w:pPr>
        <w:numPr>
          <w:ilvl w:val="0"/>
          <w:numId w:val="3"/>
        </w:numPr>
        <w:ind w:left="709"/>
        <w:jc w:val="both"/>
        <w:rPr>
          <w:rFonts w:ascii="Arial" w:eastAsia="Times New Roman" w:hAnsi="Arial" w:cs="Arial"/>
        </w:rPr>
      </w:pPr>
      <w:r>
        <w:rPr>
          <w:rFonts w:eastAsia="Times New Roman" w:cs="Arial"/>
        </w:rPr>
        <w:t xml:space="preserve">También destacan las dotaciones presupuestarias de casi 1.150.000 encomendadas a la Fundación de la UMH para fomentar el emprendimiento y para la gestión del Parque Científico, del que forman parte más de 70 empresas. </w:t>
      </w:r>
    </w:p>
    <w:p w:rsidR="00D654FF" w:rsidRDefault="00D654FF" w:rsidP="00D654FF">
      <w:pPr>
        <w:ind w:left="709"/>
        <w:jc w:val="both"/>
        <w:rPr>
          <w:rFonts w:eastAsia="Times New Roman" w:cs="Arial"/>
        </w:rPr>
      </w:pPr>
    </w:p>
    <w:p w:rsidR="00D654FF" w:rsidRDefault="00D654FF" w:rsidP="00D654FF">
      <w:pPr>
        <w:ind w:firstLine="708"/>
        <w:jc w:val="both"/>
        <w:rPr>
          <w:rFonts w:eastAsia="Times New Roman" w:cs="Arial"/>
        </w:rPr>
      </w:pPr>
      <w:r>
        <w:rPr>
          <w:rFonts w:eastAsia="Times New Roman" w:cs="Arial"/>
        </w:rPr>
        <w:t>El presupuesto 2019 de la Universidad Miguel Hernández</w:t>
      </w:r>
      <w:r>
        <w:rPr>
          <w:rFonts w:eastAsia="Arial Unicode MS" w:cs="Arial"/>
        </w:rPr>
        <w:t xml:space="preserve"> dedica 11.300.517 euros a inversiones directas, que representa el 10,6% del total. </w:t>
      </w:r>
      <w:r>
        <w:rPr>
          <w:rFonts w:eastAsia="Times New Roman" w:cs="Arial"/>
        </w:rPr>
        <w:t xml:space="preserve">Los destinos principales están relacionados con las obras de urbanización y ajardinamiento en los cuatro campus con más de 2 millones, así como los proyectos técnicos y la construcción de edificios, con 4,8 millones y otras dotaciones presupuestarias en equipos e instalaciones para mejorar y ampliar las infraestructuras en los campus. </w:t>
      </w:r>
    </w:p>
    <w:p w:rsidR="00D654FF" w:rsidRDefault="00D654FF" w:rsidP="00D654FF">
      <w:pPr>
        <w:ind w:firstLine="708"/>
        <w:jc w:val="both"/>
        <w:rPr>
          <w:rFonts w:eastAsia="Times New Roman" w:cs="Arial"/>
        </w:rPr>
      </w:pPr>
    </w:p>
    <w:p w:rsidR="00D654FF" w:rsidRDefault="00D654FF" w:rsidP="00D654FF">
      <w:pPr>
        <w:ind w:firstLine="708"/>
        <w:jc w:val="both"/>
        <w:rPr>
          <w:rFonts w:eastAsia="Times New Roman" w:cs="Arial"/>
        </w:rPr>
      </w:pPr>
      <w:r>
        <w:rPr>
          <w:rFonts w:eastAsia="Times New Roman" w:cs="Arial"/>
        </w:rPr>
        <w:t xml:space="preserve">Además de los destinos mencionados, en el Presupuesto de 2019 se incorpora un incremento respecto al presupuesto anterior cercano al 14% en las transferencias corrientes que se destinará a los diferentes Planes de Subvenciones, Becas y Ayudas y  también, el aumento en un 4% en las dotaciones destinadas al fortalecimiento de los recursos humanos, tanto docentes y de investigación, como de administración y servicios, para consolidar y estabilizar plazas, así como para favorecer el desarrollo de la carrera profesional . </w:t>
      </w:r>
    </w:p>
    <w:p w:rsidR="00D654FF" w:rsidRDefault="00D654FF" w:rsidP="00D654FF">
      <w:pPr>
        <w:ind w:firstLine="708"/>
        <w:jc w:val="both"/>
        <w:rPr>
          <w:rFonts w:eastAsia="Times New Roman" w:cs="Arial"/>
        </w:rPr>
      </w:pPr>
    </w:p>
    <w:p w:rsidR="00D654FF" w:rsidRDefault="00D654FF" w:rsidP="00D654FF">
      <w:pPr>
        <w:ind w:firstLine="708"/>
        <w:jc w:val="both"/>
        <w:rPr>
          <w:rFonts w:eastAsia="Times New Roman" w:cs="Arial"/>
        </w:rPr>
      </w:pPr>
      <w:r>
        <w:rPr>
          <w:rFonts w:eastAsia="Times New Roman" w:cs="Arial"/>
        </w:rPr>
        <w:t>Por lo tanto, la UMH sigue apostando por políticas presupuestarias que primen el uso eficiente de los recursos, que mantengan los niveles de calidad en docencia, investigación y servicios y, también, por desarrollar el Plan Plurianual de las inversiones en infraestructuras de la Universidad. Se trata de un presupuesto equilibrado y prudente que cumple con los principios de estabilidad, así como con los compromisos de la Universidad Miguel Hernández de Elche con la sociedad, con sus profesionales y con los retos de la educación superior y la investigación de excelencia.</w:t>
      </w:r>
    </w:p>
    <w:p w:rsidR="00CA2711" w:rsidRPr="004E65E8" w:rsidRDefault="00CA2711" w:rsidP="00CA2711">
      <w:pPr>
        <w:ind w:firstLine="708"/>
        <w:jc w:val="both"/>
        <w:rPr>
          <w:rFonts w:eastAsia="Times New Roman" w:cs="Arial"/>
        </w:rPr>
      </w:pPr>
      <w:r w:rsidRPr="004E65E8">
        <w:rPr>
          <w:rFonts w:eastAsia="Times New Roman" w:cs="Arial"/>
        </w:rPr>
        <w:t>Las cantidades presupuestadas por capítulos se resumen en las siguientes tablas y gráficos:</w:t>
      </w:r>
    </w:p>
    <w:p w:rsidR="0069382A" w:rsidRDefault="0069382A" w:rsidP="00CA2711">
      <w:pPr>
        <w:ind w:firstLine="708"/>
        <w:jc w:val="both"/>
        <w:rPr>
          <w:rFonts w:ascii="Verdana" w:hAnsi="Verdana" w:cs="Verdana"/>
          <w:sz w:val="22"/>
          <w:szCs w:val="22"/>
        </w:rPr>
      </w:pPr>
    </w:p>
    <w:p w:rsidR="00682CE1" w:rsidRDefault="00682CE1" w:rsidP="00CA2711">
      <w:pPr>
        <w:ind w:firstLine="708"/>
        <w:jc w:val="both"/>
        <w:rPr>
          <w:rFonts w:ascii="Verdana" w:hAnsi="Verdana" w:cs="Verdana"/>
          <w:sz w:val="22"/>
          <w:szCs w:val="22"/>
        </w:rPr>
      </w:pPr>
    </w:p>
    <w:tbl>
      <w:tblPr>
        <w:tblW w:w="7340" w:type="dxa"/>
        <w:jc w:val="center"/>
        <w:tblCellMar>
          <w:left w:w="70" w:type="dxa"/>
          <w:right w:w="70" w:type="dxa"/>
        </w:tblCellMar>
        <w:tblLook w:val="04A0" w:firstRow="1" w:lastRow="0" w:firstColumn="1" w:lastColumn="0" w:noHBand="0" w:noVBand="1"/>
      </w:tblPr>
      <w:tblGrid>
        <w:gridCol w:w="3860"/>
        <w:gridCol w:w="2280"/>
        <w:gridCol w:w="1200"/>
      </w:tblGrid>
      <w:tr w:rsidR="002705B2" w:rsidRPr="002705B2" w:rsidTr="002705B2">
        <w:trPr>
          <w:trHeight w:val="810"/>
          <w:jc w:val="center"/>
        </w:trPr>
        <w:tc>
          <w:tcPr>
            <w:tcW w:w="3860" w:type="dxa"/>
            <w:tcBorders>
              <w:top w:val="single" w:sz="8" w:space="0" w:color="auto"/>
              <w:left w:val="single" w:sz="8" w:space="0" w:color="auto"/>
              <w:bottom w:val="nil"/>
              <w:right w:val="single" w:sz="8"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32"/>
                <w:szCs w:val="32"/>
              </w:rPr>
            </w:pPr>
            <w:r w:rsidRPr="002705B2">
              <w:rPr>
                <w:rFonts w:ascii="Felix Titling" w:eastAsia="Times New Roman" w:hAnsi="Felix Titling" w:cs="Calibri"/>
                <w:b/>
                <w:bCs/>
                <w:color w:val="FFFFFF"/>
                <w:sz w:val="32"/>
                <w:szCs w:val="32"/>
              </w:rPr>
              <w:t>ESTADO DE INGRESOS</w:t>
            </w:r>
          </w:p>
        </w:tc>
        <w:tc>
          <w:tcPr>
            <w:tcW w:w="2280" w:type="dxa"/>
            <w:tcBorders>
              <w:top w:val="single" w:sz="8" w:space="0" w:color="auto"/>
              <w:left w:val="nil"/>
              <w:bottom w:val="nil"/>
              <w:right w:val="single" w:sz="8"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 xml:space="preserve">Euros </w:t>
            </w:r>
            <w:proofErr w:type="spellStart"/>
            <w:r w:rsidRPr="002705B2">
              <w:rPr>
                <w:rFonts w:ascii="Felix Titling" w:eastAsia="Times New Roman" w:hAnsi="Felix Titling" w:cs="Calibri"/>
                <w:b/>
                <w:bCs/>
                <w:color w:val="FFFFFF"/>
                <w:sz w:val="20"/>
                <w:szCs w:val="20"/>
              </w:rPr>
              <w:t>Presup</w:t>
            </w:r>
            <w:proofErr w:type="spellEnd"/>
            <w:r w:rsidRPr="002705B2">
              <w:rPr>
                <w:rFonts w:ascii="Felix Titling" w:eastAsia="Times New Roman" w:hAnsi="Felix Titling" w:cs="Calibri"/>
                <w:b/>
                <w:bCs/>
                <w:color w:val="FFFFFF"/>
                <w:sz w:val="20"/>
                <w:szCs w:val="20"/>
              </w:rPr>
              <w:t>. Inicial 2019</w:t>
            </w:r>
          </w:p>
        </w:tc>
        <w:tc>
          <w:tcPr>
            <w:tcW w:w="1200" w:type="dxa"/>
            <w:tcBorders>
              <w:top w:val="single" w:sz="8" w:space="0" w:color="auto"/>
              <w:left w:val="nil"/>
              <w:bottom w:val="nil"/>
              <w:right w:val="single" w:sz="8"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w:t>
            </w:r>
          </w:p>
        </w:tc>
      </w:tr>
      <w:tr w:rsidR="002705B2" w:rsidRPr="002705B2" w:rsidTr="002705B2">
        <w:trPr>
          <w:trHeight w:val="300"/>
          <w:jc w:val="center"/>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ascii="Palatino Linotype" w:eastAsia="Times New Roman" w:hAnsi="Palatino Linotype" w:cs="Calibri"/>
                <w:color w:val="000000"/>
                <w:sz w:val="18"/>
                <w:szCs w:val="18"/>
              </w:rPr>
            </w:pPr>
            <w:r w:rsidRPr="002705B2">
              <w:rPr>
                <w:rFonts w:ascii="Palatino Linotype" w:eastAsia="Times New Roman" w:hAnsi="Palatino Linotype" w:cs="Calibri"/>
                <w:color w:val="000000"/>
                <w:sz w:val="18"/>
                <w:szCs w:val="18"/>
              </w:rPr>
              <w:t xml:space="preserve">Capítulo 3: </w:t>
            </w:r>
            <w:proofErr w:type="spellStart"/>
            <w:r w:rsidRPr="002705B2">
              <w:rPr>
                <w:rFonts w:ascii="Palatino Linotype" w:eastAsia="Times New Roman" w:hAnsi="Palatino Linotype" w:cs="Calibri"/>
                <w:color w:val="000000"/>
                <w:sz w:val="18"/>
                <w:szCs w:val="18"/>
              </w:rPr>
              <w:t>Tasas,Precios</w:t>
            </w:r>
            <w:proofErr w:type="spellEnd"/>
            <w:r w:rsidRPr="002705B2">
              <w:rPr>
                <w:rFonts w:ascii="Palatino Linotype" w:eastAsia="Times New Roman" w:hAnsi="Palatino Linotype" w:cs="Calibri"/>
                <w:color w:val="000000"/>
                <w:sz w:val="18"/>
                <w:szCs w:val="18"/>
              </w:rPr>
              <w:t xml:space="preserve"> Públicos y Otros I.</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s="Arial"/>
                <w:color w:val="000000"/>
                <w:sz w:val="20"/>
                <w:szCs w:val="20"/>
              </w:rPr>
              <w:t>16.785.817,05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s="Arial"/>
                <w:color w:val="000000"/>
                <w:sz w:val="20"/>
                <w:szCs w:val="20"/>
              </w:rPr>
              <w:t>15,81</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ascii="Palatino Linotype" w:eastAsia="Times New Roman" w:hAnsi="Palatino Linotype" w:cs="Calibri"/>
                <w:color w:val="000000"/>
                <w:sz w:val="18"/>
                <w:szCs w:val="18"/>
              </w:rPr>
            </w:pPr>
            <w:r w:rsidRPr="002705B2">
              <w:rPr>
                <w:rFonts w:ascii="Palatino Linotype" w:eastAsia="Times New Roman" w:hAnsi="Palatino Linotype" w:cs="Calibri"/>
                <w:color w:val="000000"/>
                <w:sz w:val="18"/>
                <w:szCs w:val="18"/>
              </w:rPr>
              <w:t>Capítulo 4: Transferencias Corrientes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s="Arial"/>
                <w:color w:val="000000"/>
                <w:sz w:val="20"/>
                <w:szCs w:val="20"/>
              </w:rPr>
              <w:t>79.401.096,94</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s="Arial"/>
                <w:color w:val="000000"/>
                <w:sz w:val="20"/>
                <w:szCs w:val="20"/>
              </w:rPr>
              <w:t>74,77</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ascii="Palatino Linotype" w:eastAsia="Times New Roman" w:hAnsi="Palatino Linotype" w:cs="Calibri"/>
                <w:color w:val="000000"/>
                <w:sz w:val="18"/>
                <w:szCs w:val="18"/>
              </w:rPr>
            </w:pPr>
            <w:r w:rsidRPr="002705B2">
              <w:rPr>
                <w:rFonts w:ascii="Palatino Linotype" w:eastAsia="Times New Roman" w:hAnsi="Palatino Linotype" w:cs="Calibri"/>
                <w:color w:val="000000"/>
                <w:sz w:val="18"/>
                <w:szCs w:val="18"/>
              </w:rPr>
              <w:t>Capítulo 5: Ingresos Patrimoniales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s="Arial"/>
                <w:color w:val="000000"/>
                <w:sz w:val="20"/>
                <w:szCs w:val="20"/>
              </w:rPr>
              <w:t>407.000,00</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s="Arial"/>
                <w:color w:val="000000"/>
                <w:sz w:val="20"/>
                <w:szCs w:val="20"/>
              </w:rPr>
              <w:t>0,38</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ascii="Palatino Linotype" w:eastAsia="Times New Roman" w:hAnsi="Palatino Linotype" w:cs="Calibri"/>
                <w:color w:val="000000"/>
                <w:sz w:val="18"/>
                <w:szCs w:val="18"/>
              </w:rPr>
            </w:pPr>
            <w:r w:rsidRPr="002705B2">
              <w:rPr>
                <w:rFonts w:ascii="Palatino Linotype" w:eastAsia="Times New Roman" w:hAnsi="Palatino Linotype" w:cs="Calibri"/>
                <w:color w:val="000000"/>
                <w:sz w:val="18"/>
                <w:szCs w:val="18"/>
              </w:rPr>
              <w:t>Capítulo 7: Transferencias de Capital</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s="Arial"/>
                <w:color w:val="000000"/>
                <w:sz w:val="20"/>
                <w:szCs w:val="20"/>
              </w:rPr>
              <w:t>5.226.910,00</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s="Arial"/>
                <w:color w:val="000000"/>
                <w:sz w:val="20"/>
                <w:szCs w:val="20"/>
              </w:rPr>
              <w:t>4,92</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ascii="Palatino Linotype" w:eastAsia="Times New Roman" w:hAnsi="Palatino Linotype" w:cs="Calibri"/>
                <w:color w:val="000000"/>
                <w:sz w:val="18"/>
                <w:szCs w:val="18"/>
              </w:rPr>
            </w:pPr>
            <w:r w:rsidRPr="002705B2">
              <w:rPr>
                <w:rFonts w:ascii="Palatino Linotype" w:eastAsia="Times New Roman" w:hAnsi="Palatino Linotype" w:cs="Calibri"/>
                <w:color w:val="000000"/>
                <w:sz w:val="18"/>
                <w:szCs w:val="18"/>
              </w:rPr>
              <w:t>Capítulo 8: Activos Financieros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s="Arial"/>
                <w:color w:val="000000"/>
                <w:sz w:val="20"/>
                <w:szCs w:val="20"/>
              </w:rPr>
              <w:t>4.370.431,53</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s="Arial"/>
                <w:color w:val="000000"/>
                <w:sz w:val="20"/>
                <w:szCs w:val="20"/>
              </w:rPr>
              <w:t>4,12</w:t>
            </w:r>
          </w:p>
        </w:tc>
      </w:tr>
      <w:tr w:rsidR="002705B2" w:rsidRPr="002705B2" w:rsidTr="002705B2">
        <w:trPr>
          <w:trHeight w:val="315"/>
          <w:jc w:val="center"/>
        </w:trPr>
        <w:tc>
          <w:tcPr>
            <w:tcW w:w="3860" w:type="dxa"/>
            <w:tcBorders>
              <w:top w:val="nil"/>
              <w:left w:val="nil"/>
              <w:bottom w:val="single" w:sz="8" w:space="0" w:color="auto"/>
              <w:right w:val="single" w:sz="8"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TOTAL INGRESOS</w:t>
            </w:r>
          </w:p>
        </w:tc>
        <w:tc>
          <w:tcPr>
            <w:tcW w:w="2280" w:type="dxa"/>
            <w:tcBorders>
              <w:top w:val="nil"/>
              <w:left w:val="single" w:sz="4" w:space="0" w:color="auto"/>
              <w:bottom w:val="single" w:sz="4" w:space="0" w:color="auto"/>
              <w:right w:val="single" w:sz="4" w:space="0" w:color="auto"/>
            </w:tcBorders>
            <w:shd w:val="clear" w:color="000000" w:fill="808080"/>
            <w:vAlign w:val="bottom"/>
            <w:hideMark/>
          </w:tcPr>
          <w:p w:rsidR="002705B2" w:rsidRPr="002705B2" w:rsidRDefault="002705B2" w:rsidP="002705B2">
            <w:pPr>
              <w:jc w:val="right"/>
              <w:rPr>
                <w:rFonts w:ascii="Felix Titling" w:eastAsia="Times New Roman" w:hAnsi="Felix Titling" w:cs="Calibri"/>
                <w:b/>
                <w:bCs/>
                <w:color w:val="FFFFFF"/>
                <w:sz w:val="20"/>
                <w:szCs w:val="20"/>
              </w:rPr>
            </w:pPr>
            <w:r w:rsidRPr="002705B2">
              <w:rPr>
                <w:rFonts w:ascii="Felix Titling" w:eastAsia="Times New Roman" w:hAnsi="Felix Titling" w:cs="Arial"/>
                <w:b/>
                <w:bCs/>
                <w:color w:val="FFFFFF"/>
                <w:sz w:val="20"/>
                <w:szCs w:val="20"/>
              </w:rPr>
              <w:t xml:space="preserve">        106.</w:t>
            </w:r>
            <w:r w:rsidR="00E51724">
              <w:rPr>
                <w:rFonts w:ascii="Felix Titling" w:eastAsia="Times New Roman" w:hAnsi="Felix Titling" w:cs="Arial"/>
                <w:b/>
                <w:bCs/>
                <w:color w:val="FFFFFF"/>
                <w:sz w:val="20"/>
                <w:szCs w:val="20"/>
              </w:rPr>
              <w:t>.</w:t>
            </w:r>
            <w:r w:rsidRPr="002705B2">
              <w:rPr>
                <w:rFonts w:ascii="Felix Titling" w:eastAsia="Times New Roman" w:hAnsi="Felix Titling" w:cs="Arial"/>
                <w:b/>
                <w:bCs/>
                <w:color w:val="FFFFFF"/>
                <w:sz w:val="20"/>
                <w:szCs w:val="20"/>
              </w:rPr>
              <w:t>191.</w:t>
            </w:r>
            <w:r w:rsidR="00E51724">
              <w:rPr>
                <w:rFonts w:ascii="Felix Titling" w:eastAsia="Times New Roman" w:hAnsi="Felix Titling" w:cs="Arial"/>
                <w:b/>
                <w:bCs/>
                <w:color w:val="FFFFFF"/>
                <w:sz w:val="20"/>
                <w:szCs w:val="20"/>
              </w:rPr>
              <w:t>.</w:t>
            </w:r>
            <w:r w:rsidRPr="002705B2">
              <w:rPr>
                <w:rFonts w:ascii="Felix Titling" w:eastAsia="Times New Roman" w:hAnsi="Felix Titling" w:cs="Arial"/>
                <w:b/>
                <w:bCs/>
                <w:color w:val="FFFFFF"/>
                <w:sz w:val="20"/>
                <w:szCs w:val="20"/>
              </w:rPr>
              <w:t xml:space="preserve">255,52   </w:t>
            </w:r>
          </w:p>
        </w:tc>
        <w:tc>
          <w:tcPr>
            <w:tcW w:w="1200" w:type="dxa"/>
            <w:tcBorders>
              <w:top w:val="nil"/>
              <w:left w:val="nil"/>
              <w:bottom w:val="single" w:sz="8" w:space="0" w:color="auto"/>
              <w:right w:val="single" w:sz="8"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100</w:t>
            </w:r>
          </w:p>
        </w:tc>
      </w:tr>
    </w:tbl>
    <w:p w:rsidR="0069382A" w:rsidRPr="00A85C7F" w:rsidRDefault="0069382A" w:rsidP="00CA2711">
      <w:pPr>
        <w:ind w:firstLine="708"/>
        <w:jc w:val="both"/>
        <w:rPr>
          <w:rFonts w:ascii="Verdana" w:hAnsi="Verdana" w:cs="Verdana"/>
          <w:sz w:val="22"/>
          <w:szCs w:val="22"/>
        </w:rPr>
      </w:pPr>
    </w:p>
    <w:p w:rsidR="00CA2711" w:rsidRPr="00A85C7F" w:rsidRDefault="00CA2711" w:rsidP="00CA2711">
      <w:pPr>
        <w:ind w:firstLine="708"/>
        <w:jc w:val="both"/>
        <w:rPr>
          <w:rFonts w:ascii="Verdana" w:hAnsi="Verdana" w:cs="Verdana"/>
          <w:sz w:val="22"/>
          <w:szCs w:val="22"/>
        </w:rPr>
      </w:pPr>
    </w:p>
    <w:p w:rsidR="00CA2711" w:rsidRPr="00A85C7F" w:rsidRDefault="00CA2711" w:rsidP="00CA2711">
      <w:pPr>
        <w:keepNext/>
        <w:spacing w:before="120" w:after="120"/>
        <w:jc w:val="center"/>
        <w:rPr>
          <w:rFonts w:ascii="Verdana" w:hAnsi="Verdana"/>
          <w:b/>
        </w:rPr>
      </w:pPr>
      <w:r w:rsidRPr="00A85C7F">
        <w:rPr>
          <w:rFonts w:ascii="Verdana" w:hAnsi="Verdana"/>
          <w:b/>
        </w:rPr>
        <w:t>ESTADO DE INGRESOS</w:t>
      </w:r>
    </w:p>
    <w:p w:rsidR="00CA2711" w:rsidRDefault="00CA2711" w:rsidP="00CA2711">
      <w:pPr>
        <w:keepNext/>
        <w:spacing w:before="120" w:after="120"/>
        <w:jc w:val="center"/>
        <w:rPr>
          <w:rFonts w:ascii="Verdana" w:hAnsi="Verdana"/>
          <w:b/>
          <w:sz w:val="20"/>
        </w:rPr>
      </w:pPr>
      <w:r w:rsidRPr="00A85C7F">
        <w:rPr>
          <w:rFonts w:ascii="Verdana" w:hAnsi="Verdana"/>
          <w:b/>
          <w:sz w:val="20"/>
        </w:rPr>
        <w:t>RESUMEN POR CAPÍTULOS</w:t>
      </w:r>
    </w:p>
    <w:p w:rsidR="00682CE1" w:rsidRPr="00A85C7F" w:rsidRDefault="00682CE1" w:rsidP="00CA2711">
      <w:pPr>
        <w:keepNext/>
        <w:spacing w:before="120" w:after="120"/>
        <w:jc w:val="center"/>
        <w:rPr>
          <w:rFonts w:ascii="Verdana" w:hAnsi="Verdana"/>
          <w:b/>
          <w:sz w:val="20"/>
        </w:rPr>
      </w:pPr>
    </w:p>
    <w:p w:rsidR="00CA2711" w:rsidRPr="00A85C7F" w:rsidRDefault="002705B2" w:rsidP="00ED0F8D">
      <w:pPr>
        <w:spacing w:before="120" w:after="120"/>
        <w:jc w:val="center"/>
        <w:rPr>
          <w:rFonts w:ascii="Verdana" w:hAnsi="Verdana"/>
        </w:rPr>
      </w:pPr>
      <w:r>
        <w:rPr>
          <w:noProof/>
        </w:rPr>
        <w:drawing>
          <wp:inline distT="0" distB="0" distL="0" distR="0" wp14:anchorId="5E177D3E" wp14:editId="364379F1">
            <wp:extent cx="4572000" cy="2562609"/>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2711" w:rsidRPr="00A85C7F" w:rsidRDefault="00CA2711" w:rsidP="00CA2711">
      <w:pPr>
        <w:spacing w:before="120" w:after="120"/>
        <w:jc w:val="center"/>
        <w:rPr>
          <w:rFonts w:ascii="Verdana" w:hAnsi="Verdana"/>
        </w:rPr>
      </w:pPr>
    </w:p>
    <w:p w:rsidR="00682CE1" w:rsidRDefault="00682CE1">
      <w:pPr>
        <w:spacing w:after="160" w:line="259" w:lineRule="auto"/>
        <w:rPr>
          <w:rFonts w:ascii="Verdana" w:hAnsi="Verdana"/>
        </w:rPr>
      </w:pPr>
      <w:r>
        <w:rPr>
          <w:rFonts w:ascii="Verdana" w:hAnsi="Verdana"/>
        </w:rPr>
        <w:br w:type="page"/>
      </w:r>
    </w:p>
    <w:tbl>
      <w:tblPr>
        <w:tblW w:w="7340" w:type="dxa"/>
        <w:jc w:val="center"/>
        <w:tblCellMar>
          <w:left w:w="70" w:type="dxa"/>
          <w:right w:w="70" w:type="dxa"/>
        </w:tblCellMar>
        <w:tblLook w:val="04A0" w:firstRow="1" w:lastRow="0" w:firstColumn="1" w:lastColumn="0" w:noHBand="0" w:noVBand="1"/>
      </w:tblPr>
      <w:tblGrid>
        <w:gridCol w:w="3860"/>
        <w:gridCol w:w="2280"/>
        <w:gridCol w:w="1200"/>
      </w:tblGrid>
      <w:tr w:rsidR="002705B2" w:rsidRPr="002705B2" w:rsidTr="002705B2">
        <w:trPr>
          <w:trHeight w:val="540"/>
          <w:jc w:val="center"/>
        </w:trPr>
        <w:tc>
          <w:tcPr>
            <w:tcW w:w="386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32"/>
                <w:szCs w:val="32"/>
              </w:rPr>
            </w:pPr>
            <w:r w:rsidRPr="002705B2">
              <w:rPr>
                <w:rFonts w:ascii="Felix Titling" w:eastAsia="Times New Roman" w:hAnsi="Felix Titling" w:cs="Calibri"/>
                <w:b/>
                <w:bCs/>
                <w:color w:val="FFFFFF"/>
                <w:sz w:val="32"/>
                <w:szCs w:val="32"/>
              </w:rPr>
              <w:lastRenderedPageBreak/>
              <w:t>ESTADO DE gastos</w:t>
            </w:r>
          </w:p>
        </w:tc>
        <w:tc>
          <w:tcPr>
            <w:tcW w:w="2280" w:type="dxa"/>
            <w:tcBorders>
              <w:top w:val="single" w:sz="4" w:space="0" w:color="auto"/>
              <w:left w:val="nil"/>
              <w:bottom w:val="single" w:sz="4" w:space="0" w:color="auto"/>
              <w:right w:val="single" w:sz="4"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 xml:space="preserve">Euros </w:t>
            </w:r>
            <w:proofErr w:type="spellStart"/>
            <w:r w:rsidRPr="002705B2">
              <w:rPr>
                <w:rFonts w:ascii="Felix Titling" w:eastAsia="Times New Roman" w:hAnsi="Felix Titling" w:cs="Calibri"/>
                <w:b/>
                <w:bCs/>
                <w:color w:val="FFFFFF"/>
                <w:sz w:val="20"/>
                <w:szCs w:val="20"/>
              </w:rPr>
              <w:t>Presup</w:t>
            </w:r>
            <w:proofErr w:type="spellEnd"/>
            <w:r w:rsidRPr="002705B2">
              <w:rPr>
                <w:rFonts w:ascii="Felix Titling" w:eastAsia="Times New Roman" w:hAnsi="Felix Titling" w:cs="Calibri"/>
                <w:b/>
                <w:bCs/>
                <w:color w:val="FFFFFF"/>
                <w:sz w:val="20"/>
                <w:szCs w:val="20"/>
              </w:rPr>
              <w:t>. Inicial 2019</w:t>
            </w:r>
          </w:p>
        </w:tc>
        <w:tc>
          <w:tcPr>
            <w:tcW w:w="1200" w:type="dxa"/>
            <w:tcBorders>
              <w:top w:val="single" w:sz="4" w:space="0" w:color="auto"/>
              <w:left w:val="nil"/>
              <w:bottom w:val="single" w:sz="4" w:space="0" w:color="auto"/>
              <w:right w:val="single" w:sz="4"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1: Gastos de Personal</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60.209.736,65</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56,7</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 xml:space="preserve">Capítulo 2: Compra de Bienes y </w:t>
            </w:r>
            <w:proofErr w:type="spellStart"/>
            <w:r w:rsidRPr="002705B2">
              <w:rPr>
                <w:rFonts w:eastAsia="Times New Roman"/>
                <w:color w:val="000000"/>
                <w:sz w:val="20"/>
                <w:szCs w:val="20"/>
              </w:rPr>
              <w:t>Gts</w:t>
            </w:r>
            <w:proofErr w:type="spellEnd"/>
            <w:r w:rsidRPr="002705B2">
              <w:rPr>
                <w:rFonts w:eastAsia="Times New Roman"/>
                <w:color w:val="000000"/>
                <w:sz w:val="20"/>
                <w:szCs w:val="20"/>
              </w:rPr>
              <w:t xml:space="preserve">. de </w:t>
            </w:r>
            <w:proofErr w:type="spellStart"/>
            <w:r w:rsidRPr="002705B2">
              <w:rPr>
                <w:rFonts w:eastAsia="Times New Roman"/>
                <w:color w:val="000000"/>
                <w:sz w:val="20"/>
                <w:szCs w:val="20"/>
              </w:rPr>
              <w:t>Fto</w:t>
            </w:r>
            <w:proofErr w:type="spellEnd"/>
            <w:r w:rsidRPr="002705B2">
              <w:rPr>
                <w:rFonts w:eastAsia="Times New Roman"/>
                <w:color w:val="000000"/>
                <w:sz w:val="20"/>
                <w:szCs w:val="20"/>
              </w:rPr>
              <w:t>.</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24.307.332,44</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22,89</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3: Gastos Financieros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419.743,59</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0,4</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4: Transferencias Corrientes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5.492.565,13</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5,17</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6: Inversiones Reales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11.300.517,88</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10,64</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7: Transferencias de Capital</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28.000,00</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0,03</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8: Activos Financieros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2.000,00</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0</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2705B2" w:rsidRPr="002705B2" w:rsidRDefault="002705B2" w:rsidP="002705B2">
            <w:pPr>
              <w:rPr>
                <w:rFonts w:eastAsia="Times New Roman"/>
                <w:color w:val="000000"/>
                <w:sz w:val="20"/>
                <w:szCs w:val="20"/>
              </w:rPr>
            </w:pPr>
            <w:r w:rsidRPr="002705B2">
              <w:rPr>
                <w:rFonts w:eastAsia="Times New Roman"/>
                <w:color w:val="000000"/>
                <w:sz w:val="20"/>
                <w:szCs w:val="20"/>
              </w:rPr>
              <w:t>Capítulo 9: Pasivos Financieros</w:t>
            </w:r>
          </w:p>
        </w:tc>
        <w:tc>
          <w:tcPr>
            <w:tcW w:w="228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right"/>
              <w:rPr>
                <w:rFonts w:eastAsia="Times New Roman"/>
                <w:color w:val="000000"/>
                <w:sz w:val="20"/>
                <w:szCs w:val="20"/>
              </w:rPr>
            </w:pPr>
            <w:r w:rsidRPr="002705B2">
              <w:rPr>
                <w:rFonts w:eastAsia="Times New Roman"/>
                <w:color w:val="000000"/>
                <w:sz w:val="20"/>
                <w:szCs w:val="20"/>
              </w:rPr>
              <w:t>4.431.359,83</w:t>
            </w:r>
          </w:p>
        </w:tc>
        <w:tc>
          <w:tcPr>
            <w:tcW w:w="1200" w:type="dxa"/>
            <w:tcBorders>
              <w:top w:val="nil"/>
              <w:left w:val="nil"/>
              <w:bottom w:val="single" w:sz="4" w:space="0" w:color="auto"/>
              <w:right w:val="single" w:sz="4" w:space="0" w:color="auto"/>
            </w:tcBorders>
            <w:shd w:val="clear" w:color="auto" w:fill="auto"/>
            <w:noWrap/>
            <w:vAlign w:val="center"/>
            <w:hideMark/>
          </w:tcPr>
          <w:p w:rsidR="002705B2" w:rsidRPr="002705B2" w:rsidRDefault="002705B2" w:rsidP="002705B2">
            <w:pPr>
              <w:jc w:val="center"/>
              <w:rPr>
                <w:rFonts w:eastAsia="Times New Roman"/>
                <w:color w:val="000000"/>
                <w:sz w:val="20"/>
                <w:szCs w:val="20"/>
              </w:rPr>
            </w:pPr>
            <w:r w:rsidRPr="002705B2">
              <w:rPr>
                <w:rFonts w:eastAsia="Times New Roman"/>
                <w:color w:val="000000"/>
                <w:sz w:val="20"/>
                <w:szCs w:val="20"/>
              </w:rPr>
              <w:t>4,17</w:t>
            </w:r>
          </w:p>
        </w:tc>
      </w:tr>
      <w:tr w:rsidR="002705B2" w:rsidRPr="002705B2" w:rsidTr="002705B2">
        <w:trPr>
          <w:trHeight w:val="300"/>
          <w:jc w:val="center"/>
        </w:trPr>
        <w:tc>
          <w:tcPr>
            <w:tcW w:w="3860" w:type="dxa"/>
            <w:tcBorders>
              <w:top w:val="nil"/>
              <w:left w:val="single" w:sz="4" w:space="0" w:color="auto"/>
              <w:bottom w:val="single" w:sz="4" w:space="0" w:color="auto"/>
              <w:right w:val="single" w:sz="4"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TOTAL gastos</w:t>
            </w:r>
          </w:p>
        </w:tc>
        <w:tc>
          <w:tcPr>
            <w:tcW w:w="2280" w:type="dxa"/>
            <w:tcBorders>
              <w:top w:val="nil"/>
              <w:left w:val="nil"/>
              <w:bottom w:val="single" w:sz="4" w:space="0" w:color="auto"/>
              <w:right w:val="single" w:sz="4" w:space="0" w:color="auto"/>
            </w:tcBorders>
            <w:shd w:val="clear" w:color="000000" w:fill="808080"/>
            <w:vAlign w:val="bottom"/>
            <w:hideMark/>
          </w:tcPr>
          <w:p w:rsidR="002705B2" w:rsidRPr="002705B2" w:rsidRDefault="002705B2" w:rsidP="002705B2">
            <w:pPr>
              <w:jc w:val="right"/>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 xml:space="preserve">        106</w:t>
            </w:r>
            <w:r w:rsidR="00E51724">
              <w:rPr>
                <w:rFonts w:ascii="Felix Titling" w:eastAsia="Times New Roman" w:hAnsi="Felix Titling" w:cs="Calibri"/>
                <w:b/>
                <w:bCs/>
                <w:color w:val="FFFFFF"/>
                <w:sz w:val="20"/>
                <w:szCs w:val="20"/>
              </w:rPr>
              <w:t>.</w:t>
            </w:r>
            <w:r w:rsidRPr="002705B2">
              <w:rPr>
                <w:rFonts w:ascii="Felix Titling" w:eastAsia="Times New Roman" w:hAnsi="Felix Titling" w:cs="Calibri"/>
                <w:b/>
                <w:bCs/>
                <w:color w:val="FFFFFF"/>
                <w:sz w:val="20"/>
                <w:szCs w:val="20"/>
              </w:rPr>
              <w:t>.191.</w:t>
            </w:r>
            <w:r w:rsidR="00E51724">
              <w:rPr>
                <w:rFonts w:ascii="Felix Titling" w:eastAsia="Times New Roman" w:hAnsi="Felix Titling" w:cs="Calibri"/>
                <w:b/>
                <w:bCs/>
                <w:color w:val="FFFFFF"/>
                <w:sz w:val="20"/>
                <w:szCs w:val="20"/>
              </w:rPr>
              <w:t>.</w:t>
            </w:r>
            <w:r w:rsidRPr="002705B2">
              <w:rPr>
                <w:rFonts w:ascii="Felix Titling" w:eastAsia="Times New Roman" w:hAnsi="Felix Titling" w:cs="Calibri"/>
                <w:b/>
                <w:bCs/>
                <w:color w:val="FFFFFF"/>
                <w:sz w:val="20"/>
                <w:szCs w:val="20"/>
              </w:rPr>
              <w:t xml:space="preserve">255,52   </w:t>
            </w:r>
          </w:p>
        </w:tc>
        <w:tc>
          <w:tcPr>
            <w:tcW w:w="1200" w:type="dxa"/>
            <w:tcBorders>
              <w:top w:val="nil"/>
              <w:left w:val="nil"/>
              <w:bottom w:val="single" w:sz="4" w:space="0" w:color="auto"/>
              <w:right w:val="single" w:sz="4" w:space="0" w:color="auto"/>
            </w:tcBorders>
            <w:shd w:val="clear" w:color="000000" w:fill="808080"/>
            <w:vAlign w:val="bottom"/>
            <w:hideMark/>
          </w:tcPr>
          <w:p w:rsidR="002705B2" w:rsidRPr="002705B2" w:rsidRDefault="002705B2" w:rsidP="002705B2">
            <w:pPr>
              <w:jc w:val="center"/>
              <w:rPr>
                <w:rFonts w:ascii="Felix Titling" w:eastAsia="Times New Roman" w:hAnsi="Felix Titling" w:cs="Calibri"/>
                <w:b/>
                <w:bCs/>
                <w:color w:val="FFFFFF"/>
                <w:sz w:val="20"/>
                <w:szCs w:val="20"/>
              </w:rPr>
            </w:pPr>
            <w:r w:rsidRPr="002705B2">
              <w:rPr>
                <w:rFonts w:ascii="Felix Titling" w:eastAsia="Times New Roman" w:hAnsi="Felix Titling" w:cs="Calibri"/>
                <w:b/>
                <w:bCs/>
                <w:color w:val="FFFFFF"/>
                <w:sz w:val="20"/>
                <w:szCs w:val="20"/>
              </w:rPr>
              <w:t>100</w:t>
            </w:r>
          </w:p>
        </w:tc>
      </w:tr>
    </w:tbl>
    <w:p w:rsidR="00CA2711" w:rsidRPr="00A85C7F" w:rsidRDefault="00CA2711" w:rsidP="00682CE1">
      <w:pPr>
        <w:jc w:val="center"/>
        <w:rPr>
          <w:rFonts w:ascii="Verdana" w:hAnsi="Verdana"/>
        </w:rPr>
      </w:pPr>
    </w:p>
    <w:p w:rsidR="00CA2711" w:rsidRPr="00A85C7F" w:rsidRDefault="00CA2711" w:rsidP="00CA2711">
      <w:pPr>
        <w:rPr>
          <w:rFonts w:ascii="Verdana" w:hAnsi="Verdana"/>
        </w:rPr>
      </w:pPr>
    </w:p>
    <w:p w:rsidR="00CA2711" w:rsidRPr="00A85C7F" w:rsidRDefault="00CA2711" w:rsidP="00CA2711">
      <w:pPr>
        <w:rPr>
          <w:rFonts w:ascii="Verdana" w:hAnsi="Verdana"/>
        </w:rPr>
      </w:pPr>
    </w:p>
    <w:p w:rsidR="00CA2711" w:rsidRPr="009264B9" w:rsidRDefault="00CA2711" w:rsidP="00CA2711">
      <w:pPr>
        <w:keepNext/>
        <w:spacing w:before="120" w:after="120"/>
        <w:jc w:val="center"/>
        <w:rPr>
          <w:rFonts w:ascii="Verdana" w:hAnsi="Verdana"/>
          <w:b/>
        </w:rPr>
      </w:pPr>
      <w:r w:rsidRPr="009264B9">
        <w:rPr>
          <w:rFonts w:ascii="Verdana" w:hAnsi="Verdana"/>
          <w:b/>
        </w:rPr>
        <w:t>ESTADO DE GASTOS</w:t>
      </w:r>
    </w:p>
    <w:p w:rsidR="00CA2711" w:rsidRPr="009264B9" w:rsidRDefault="00CA2711" w:rsidP="00CA2711">
      <w:pPr>
        <w:keepNext/>
        <w:spacing w:before="120" w:after="120"/>
        <w:jc w:val="center"/>
        <w:rPr>
          <w:rFonts w:ascii="Verdana" w:hAnsi="Verdana"/>
          <w:b/>
          <w:sz w:val="20"/>
        </w:rPr>
      </w:pPr>
      <w:r w:rsidRPr="009264B9">
        <w:rPr>
          <w:rFonts w:ascii="Verdana" w:hAnsi="Verdana"/>
          <w:b/>
          <w:sz w:val="20"/>
        </w:rPr>
        <w:t>RESUMEN POR CAPÍTULOS</w:t>
      </w:r>
    </w:p>
    <w:p w:rsidR="00CA2711" w:rsidRPr="009264B9" w:rsidRDefault="00CA2711" w:rsidP="00CA2711">
      <w:pPr>
        <w:spacing w:before="120" w:after="120"/>
        <w:rPr>
          <w:rFonts w:ascii="Verdana" w:hAnsi="Verdana" w:cs="Verdana"/>
        </w:rPr>
      </w:pPr>
    </w:p>
    <w:p w:rsidR="00CA2711" w:rsidRPr="009264B9" w:rsidRDefault="002705B2" w:rsidP="00ED49B2">
      <w:pPr>
        <w:spacing w:before="120" w:after="120"/>
        <w:jc w:val="center"/>
        <w:rPr>
          <w:rFonts w:ascii="Verdana" w:hAnsi="Verdana" w:cs="Verdana"/>
        </w:rPr>
      </w:pPr>
      <w:r>
        <w:rPr>
          <w:noProof/>
        </w:rPr>
        <w:drawing>
          <wp:inline distT="0" distB="0" distL="0" distR="0" wp14:anchorId="7FC2266A" wp14:editId="3B518314">
            <wp:extent cx="4838700" cy="2543176"/>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2711" w:rsidRPr="009264B9" w:rsidRDefault="00CA2711" w:rsidP="00CA2711">
      <w:pPr>
        <w:spacing w:before="120" w:after="120"/>
        <w:rPr>
          <w:rFonts w:ascii="Verdana" w:hAnsi="Verdana" w:cs="Verdana"/>
        </w:rPr>
      </w:pPr>
    </w:p>
    <w:p w:rsidR="00CA2711" w:rsidRPr="009264B9" w:rsidRDefault="00CA2711" w:rsidP="00CA2711">
      <w:pPr>
        <w:spacing w:before="120" w:after="120"/>
        <w:rPr>
          <w:rFonts w:ascii="Verdana" w:hAnsi="Verdana" w:cs="Verdana"/>
        </w:rPr>
      </w:pPr>
    </w:p>
    <w:p w:rsidR="00CA2711" w:rsidRPr="009264B9" w:rsidRDefault="00CA2711" w:rsidP="00CA2711">
      <w:pPr>
        <w:spacing w:before="120" w:after="120"/>
        <w:rPr>
          <w:rFonts w:ascii="Verdana" w:hAnsi="Verdana" w:cs="Verdana"/>
        </w:rPr>
      </w:pPr>
    </w:p>
    <w:p w:rsidR="00CA2711" w:rsidRPr="00714CBE" w:rsidRDefault="00CA2711" w:rsidP="00CA2711">
      <w:pPr>
        <w:spacing w:before="120" w:after="120"/>
        <w:rPr>
          <w:rFonts w:ascii="Verdana" w:hAnsi="Verdana" w:cs="Verdana"/>
          <w:color w:val="FF0000"/>
        </w:rPr>
        <w:sectPr w:rsidR="00CA2711" w:rsidRPr="00714CBE" w:rsidSect="00122600">
          <w:pgSz w:w="11906" w:h="16838" w:code="9"/>
          <w:pgMar w:top="1418" w:right="1701" w:bottom="1418" w:left="1701" w:header="709" w:footer="709" w:gutter="0"/>
          <w:cols w:space="720"/>
          <w:titlePg/>
        </w:sectPr>
      </w:pPr>
    </w:p>
    <w:p w:rsidR="00CA2711" w:rsidRPr="003F7434" w:rsidRDefault="00CA2711" w:rsidP="003F7434">
      <w:pPr>
        <w:ind w:firstLine="708"/>
        <w:jc w:val="both"/>
        <w:rPr>
          <w:rFonts w:eastAsia="Times New Roman" w:cs="Arial"/>
        </w:rPr>
      </w:pPr>
      <w:r w:rsidRPr="003F7434">
        <w:rPr>
          <w:rFonts w:eastAsia="Times New Roman" w:cs="Arial"/>
        </w:rPr>
        <w:t>El primer presupuesto de la Universidad Miguel Hernández, el correspondiente al año 1998, ascendió a 78.886.362 euros. La tendencia de los presupuestos posteriores presenta los siguientes períodos por ciclos de cinco años, que vienen marcados por el desarrollo de los planes de inversión desarrollados por la Universidad:</w:t>
      </w:r>
    </w:p>
    <w:p w:rsidR="00CA2711" w:rsidRPr="009264B9" w:rsidRDefault="00CA2711" w:rsidP="00CA2711">
      <w:pPr>
        <w:pStyle w:val="Sangradetextonormal"/>
        <w:spacing w:after="0"/>
        <w:ind w:left="0" w:firstLine="709"/>
        <w:jc w:val="both"/>
        <w:rPr>
          <w:rFonts w:ascii="Verdana" w:hAnsi="Verdana"/>
          <w:sz w:val="22"/>
          <w:szCs w:val="22"/>
        </w:rPr>
      </w:pPr>
    </w:p>
    <w:p w:rsidR="00CA2711" w:rsidRPr="003F7434" w:rsidRDefault="00CA2711" w:rsidP="00CA2711">
      <w:pPr>
        <w:pStyle w:val="Sangradetextonormal"/>
        <w:numPr>
          <w:ilvl w:val="0"/>
          <w:numId w:val="1"/>
        </w:numPr>
        <w:spacing w:after="0"/>
        <w:jc w:val="both"/>
      </w:pPr>
      <w:r w:rsidRPr="003F7434">
        <w:t>Período 1999-2003. El presupuesto de 1999 se aprobó por importe de 47.697.054 euros. En los años 2000 y 2001 se produce un crecimiento sostenido, ascendiendo el presupuesto a 54.949.750 euros y 70.259.676,94 euros, respectivamente. En el año 2002 se produce un moderado descenso hasta los 68.596.395,79 euros, recuperado en el año 2003, obteniendo en ese año un presupuesto de 69.169.430,00 euros. El crecimiento acumulado del período es de un 41,54 %.</w:t>
      </w:r>
    </w:p>
    <w:p w:rsidR="00CA2711" w:rsidRPr="003F7434" w:rsidRDefault="00CA2711" w:rsidP="00CA2711">
      <w:pPr>
        <w:pStyle w:val="Sangradetextonormal"/>
        <w:numPr>
          <w:ilvl w:val="0"/>
          <w:numId w:val="1"/>
        </w:numPr>
        <w:spacing w:before="120" w:after="0"/>
        <w:jc w:val="both"/>
      </w:pPr>
      <w:r w:rsidRPr="003F7434">
        <w:t>Período 2004-2008. El presupuesto del año 2004 se aprobó por importe de 60.435.632,00 euros, para iniciar una línea de crecimiento sostenido durante los años 2005, 2006 y 2007, ascendiendo a 65.161.383,00 euros, 93.447.540,00 y 105.987.020,00 euros, respectivamente. El presupuesto del 2008 desciende a 86.796.140,00 euros. El crecimiento acumulado del período es de un 46,54%.</w:t>
      </w:r>
    </w:p>
    <w:p w:rsidR="00CA2711" w:rsidRPr="003F7434" w:rsidRDefault="00CA2711" w:rsidP="00CA2711">
      <w:pPr>
        <w:pStyle w:val="Sangradetextonormal"/>
        <w:numPr>
          <w:ilvl w:val="0"/>
          <w:numId w:val="1"/>
        </w:numPr>
        <w:spacing w:before="120"/>
        <w:jc w:val="both"/>
      </w:pPr>
      <w:r w:rsidRPr="003F7434">
        <w:t>Período 2009-2013. El presupuesto del año 2009 se aprobó por una cifra de 99.315.510,00 euros, que impulsa el Plan de Inversiones a ejecutar por la Universidad, para iniciar una línea de reducción sostenida durante los años 2010, 2011, 2012 y 2013, ascendiendo a 98.177.310,00, 95.463.970,00 91.015.240,00 y 88.581.311,00 respectivamente, afectando significativamente la situación financiera del último ejercicio. El crecimiento acumulado del período es de un -11,24%.</w:t>
      </w:r>
    </w:p>
    <w:p w:rsidR="00CA2711" w:rsidRPr="003F7434" w:rsidRDefault="00ED49B2" w:rsidP="007856DC">
      <w:pPr>
        <w:pStyle w:val="Sangradetextonormal"/>
        <w:numPr>
          <w:ilvl w:val="0"/>
          <w:numId w:val="1"/>
        </w:numPr>
        <w:spacing w:before="120"/>
        <w:jc w:val="both"/>
      </w:pPr>
      <w:r w:rsidRPr="003F7434">
        <w:t>Periodo 2014-2018</w:t>
      </w:r>
      <w:r w:rsidR="00CA2711" w:rsidRPr="003F7434">
        <w:t>: El presupuesto del año 2014 se aprobó por importe de 87.205.585,00 euros, para iniciar una línea de crecimiento sostenido durante los años 2015, 2016</w:t>
      </w:r>
      <w:r w:rsidR="00AA3632" w:rsidRPr="003F7434">
        <w:t xml:space="preserve">, </w:t>
      </w:r>
      <w:r w:rsidR="00CA2711" w:rsidRPr="003F7434">
        <w:t>2017</w:t>
      </w:r>
      <w:r w:rsidR="00AA3632" w:rsidRPr="003F7434">
        <w:t xml:space="preserve"> y 2018</w:t>
      </w:r>
      <w:r w:rsidR="00CA2711" w:rsidRPr="003F7434">
        <w:t xml:space="preserve"> ascendiendo a 90.820.442,00 euros; 97.474.171,40 e</w:t>
      </w:r>
      <w:r w:rsidR="00AA3632" w:rsidRPr="003F7434">
        <w:t>uros;</w:t>
      </w:r>
      <w:r w:rsidR="00CA2711" w:rsidRPr="003F7434">
        <w:t xml:space="preserve"> 101.046.627,40 euros </w:t>
      </w:r>
      <w:r w:rsidR="00AA3632" w:rsidRPr="003F7434">
        <w:t>y 109.626.641,00 euros r</w:t>
      </w:r>
      <w:r w:rsidR="00CA2711" w:rsidRPr="003F7434">
        <w:t xml:space="preserve">espectivamente. El crecimiento acumulado del período es de un </w:t>
      </w:r>
      <w:r w:rsidR="007856DC" w:rsidRPr="003F7434">
        <w:t>23,62</w:t>
      </w:r>
      <w:r w:rsidR="00CA2711" w:rsidRPr="003F7434">
        <w:t>%.</w:t>
      </w:r>
    </w:p>
    <w:p w:rsidR="0068310D" w:rsidRPr="0068310D" w:rsidRDefault="00E51724" w:rsidP="0068310D">
      <w:pPr>
        <w:pStyle w:val="Sangradetextonormal"/>
        <w:numPr>
          <w:ilvl w:val="0"/>
          <w:numId w:val="1"/>
        </w:numPr>
        <w:spacing w:before="120"/>
        <w:jc w:val="both"/>
      </w:pPr>
      <w:r w:rsidRPr="003F7434">
        <w:t>Período 2019: El presupuesto del año 2019 se aprobó por importe de 106.191.255.52 euros.</w:t>
      </w:r>
      <w:r w:rsidR="0068310D">
        <w:t xml:space="preserve"> </w:t>
      </w:r>
      <w:r w:rsidR="0068310D" w:rsidRPr="0068310D">
        <w:t>Esto supone una disminución del 3,13 % en las cifras totales con respecto al ejercicio anterior.</w:t>
      </w:r>
    </w:p>
    <w:p w:rsidR="00CA2711" w:rsidRPr="009264B9" w:rsidRDefault="00CA2711" w:rsidP="00CA2711">
      <w:pPr>
        <w:pStyle w:val="Sangradetextonormal"/>
        <w:spacing w:after="0"/>
        <w:ind w:left="0" w:firstLine="708"/>
        <w:jc w:val="both"/>
        <w:rPr>
          <w:rFonts w:ascii="Verdana" w:hAnsi="Verdana"/>
          <w:sz w:val="22"/>
          <w:szCs w:val="22"/>
        </w:rPr>
      </w:pPr>
      <w:bookmarkStart w:id="0" w:name="_GoBack"/>
      <w:bookmarkEnd w:id="0"/>
    </w:p>
    <w:p w:rsidR="00CA2711" w:rsidRPr="009264B9" w:rsidRDefault="00CA2711" w:rsidP="00CA2711">
      <w:pPr>
        <w:pStyle w:val="Sangradetextonormal"/>
        <w:spacing w:after="0"/>
        <w:ind w:left="0" w:firstLine="708"/>
        <w:jc w:val="both"/>
        <w:rPr>
          <w:rFonts w:ascii="Verdana" w:hAnsi="Verdana"/>
          <w:sz w:val="22"/>
          <w:szCs w:val="22"/>
        </w:rPr>
      </w:pPr>
      <w:r w:rsidRPr="003F7434">
        <w:rPr>
          <w:rFonts w:eastAsia="Times New Roman" w:cs="Arial"/>
        </w:rPr>
        <w:t>Las variaciones de los dos primeros ciclos han sido propiciadas por la evolución del Capítulo de las Inversiones, ya que las operaciones corrientes han presentado una línea de crecimiento continuo y moderado. No obstante, en el tercer ciclo, se han producido ajustes sobre los gastos corrientes, manteniendo el impulso inversor. El cuarto ciclo presenta un crecimiento continuo y moderado en las líneas de operaciones corrientes y financieras</w:t>
      </w:r>
      <w:r w:rsidRPr="009264B9">
        <w:rPr>
          <w:rFonts w:ascii="Verdana" w:hAnsi="Verdana"/>
          <w:sz w:val="22"/>
          <w:szCs w:val="22"/>
        </w:rPr>
        <w:t>.</w:t>
      </w:r>
    </w:p>
    <w:p w:rsidR="00CA2711" w:rsidRPr="009264B9" w:rsidRDefault="00CA2711" w:rsidP="00CA2711">
      <w:pPr>
        <w:pStyle w:val="Sangradetextonormal"/>
        <w:spacing w:after="0"/>
        <w:ind w:left="0" w:firstLine="708"/>
        <w:jc w:val="both"/>
        <w:rPr>
          <w:rFonts w:ascii="Verdana" w:hAnsi="Verdana"/>
          <w:sz w:val="22"/>
          <w:szCs w:val="22"/>
        </w:rPr>
      </w:pPr>
    </w:p>
    <w:p w:rsidR="00CA2711" w:rsidRPr="009264B9" w:rsidRDefault="00CA2711" w:rsidP="00CA2711">
      <w:pPr>
        <w:pStyle w:val="Sangra2detindependiente"/>
        <w:spacing w:after="0" w:line="240" w:lineRule="auto"/>
        <w:ind w:firstLine="709"/>
        <w:rPr>
          <w:sz w:val="22"/>
          <w:szCs w:val="22"/>
        </w:rPr>
      </w:pPr>
    </w:p>
    <w:p w:rsidR="00ED49B2" w:rsidRDefault="00ED49B2">
      <w:pPr>
        <w:spacing w:after="160" w:line="259" w:lineRule="auto"/>
        <w:rPr>
          <w:rFonts w:ascii="Verdana" w:hAnsi="Verdana" w:cs="Verdana"/>
          <w:sz w:val="22"/>
          <w:szCs w:val="22"/>
          <w:lang w:val="es-ES_tradnl"/>
        </w:rPr>
      </w:pPr>
      <w:r>
        <w:rPr>
          <w:sz w:val="22"/>
          <w:szCs w:val="22"/>
        </w:rPr>
        <w:br w:type="page"/>
      </w:r>
    </w:p>
    <w:p w:rsidR="00CA2711" w:rsidRPr="003F7434" w:rsidRDefault="00CA2711" w:rsidP="003F7434">
      <w:pPr>
        <w:ind w:firstLine="708"/>
        <w:jc w:val="both"/>
        <w:rPr>
          <w:rFonts w:eastAsia="Times New Roman" w:cs="Arial"/>
        </w:rPr>
      </w:pPr>
      <w:r w:rsidRPr="003F7434">
        <w:rPr>
          <w:rFonts w:eastAsia="Times New Roman" w:cs="Arial"/>
        </w:rPr>
        <w:t xml:space="preserve">Los gráficos que se reflejan a continuación contienen un análisis comparativo, capítulo a capítulo, de los presupuestos correspondientes a los ejercicios económicos de </w:t>
      </w:r>
      <w:smartTag w:uri="urn:schemas-microsoft-com:office:smarttags" w:element="metricconverter">
        <w:smartTagPr>
          <w:attr w:name="ProductID" w:val="1998 a"/>
        </w:smartTagPr>
        <w:r w:rsidRPr="003F7434">
          <w:rPr>
            <w:rFonts w:eastAsia="Times New Roman" w:cs="Arial"/>
          </w:rPr>
          <w:t>1998 a</w:t>
        </w:r>
      </w:smartTag>
      <w:r w:rsidR="00E51724" w:rsidRPr="003F7434">
        <w:rPr>
          <w:rFonts w:eastAsia="Times New Roman" w:cs="Arial"/>
        </w:rPr>
        <w:t xml:space="preserve"> 2019</w:t>
      </w:r>
      <w:r w:rsidRPr="003F7434">
        <w:rPr>
          <w:rFonts w:eastAsia="Times New Roman" w:cs="Arial"/>
        </w:rPr>
        <w:t>.</w:t>
      </w:r>
    </w:p>
    <w:p w:rsidR="00CA2711" w:rsidRDefault="00CA2711" w:rsidP="00CA2711">
      <w:pPr>
        <w:jc w:val="both"/>
        <w:rPr>
          <w:rFonts w:ascii="Verdana" w:hAnsi="Verdana" w:cs="Verdana"/>
          <w:sz w:val="22"/>
          <w:szCs w:val="22"/>
          <w:lang w:val="es-ES_tradnl"/>
        </w:rPr>
      </w:pPr>
    </w:p>
    <w:p w:rsidR="00CA2711" w:rsidRPr="009264B9" w:rsidRDefault="00CA2711" w:rsidP="00CA2711">
      <w:pPr>
        <w:jc w:val="both"/>
        <w:rPr>
          <w:rFonts w:ascii="Verdana" w:hAnsi="Verdana" w:cs="Verdana"/>
          <w:sz w:val="22"/>
          <w:szCs w:val="22"/>
          <w:lang w:val="es-ES_tradnl"/>
        </w:rPr>
      </w:pPr>
    </w:p>
    <w:p w:rsidR="00CA2711" w:rsidRPr="009264B9" w:rsidRDefault="00CA2711" w:rsidP="00CA2711">
      <w:pPr>
        <w:spacing w:before="120" w:after="120"/>
        <w:ind w:left="2124"/>
        <w:jc w:val="both"/>
        <w:rPr>
          <w:rFonts w:ascii="Verdana" w:hAnsi="Verdana" w:cs="Verdana"/>
          <w:sz w:val="22"/>
          <w:szCs w:val="22"/>
        </w:rPr>
      </w:pPr>
      <w:r w:rsidRPr="009264B9">
        <w:rPr>
          <w:rFonts w:ascii="Verdana" w:hAnsi="Verdana" w:cs="Verdana"/>
          <w:b/>
          <w:bCs/>
          <w:sz w:val="22"/>
          <w:szCs w:val="22"/>
        </w:rPr>
        <w:t>EVOLUCIÓN DEL ESTADO DE GASTOS</w:t>
      </w:r>
    </w:p>
    <w:p w:rsidR="00CA2711" w:rsidRDefault="00E51724" w:rsidP="00CA2711">
      <w:pPr>
        <w:keepNext/>
        <w:spacing w:before="120" w:after="120"/>
        <w:ind w:left="2832" w:firstLine="708"/>
        <w:rPr>
          <w:rFonts w:ascii="Verdana" w:hAnsi="Verdana" w:cs="Verdana"/>
          <w:b/>
          <w:bCs/>
          <w:sz w:val="22"/>
          <w:szCs w:val="22"/>
        </w:rPr>
      </w:pPr>
      <w:r>
        <w:rPr>
          <w:rFonts w:ascii="Verdana" w:hAnsi="Verdana" w:cs="Verdana"/>
          <w:b/>
          <w:bCs/>
          <w:sz w:val="22"/>
          <w:szCs w:val="22"/>
        </w:rPr>
        <w:t>1998-2019</w:t>
      </w:r>
    </w:p>
    <w:p w:rsidR="00CA2711" w:rsidRPr="009264B9" w:rsidRDefault="00CA2711" w:rsidP="00CA2711">
      <w:pPr>
        <w:rPr>
          <w:rFonts w:ascii="Verdana" w:hAnsi="Verdana" w:cs="Verdana"/>
          <w:sz w:val="20"/>
          <w:szCs w:val="20"/>
        </w:rPr>
      </w:pPr>
    </w:p>
    <w:p w:rsidR="00CA2711" w:rsidRPr="009264B9" w:rsidRDefault="00CA2711" w:rsidP="00CA2711">
      <w:pPr>
        <w:rPr>
          <w:rFonts w:ascii="Verdana" w:hAnsi="Verdana" w:cs="Verdana"/>
          <w:sz w:val="20"/>
          <w:szCs w:val="20"/>
        </w:rPr>
      </w:pPr>
    </w:p>
    <w:p w:rsidR="00CA2711" w:rsidRPr="009264B9" w:rsidRDefault="00CA2711" w:rsidP="00CA2711">
      <w:pPr>
        <w:rPr>
          <w:rFonts w:ascii="Verdana" w:hAnsi="Verdana" w:cs="Verdana"/>
          <w:sz w:val="20"/>
          <w:szCs w:val="20"/>
        </w:rPr>
      </w:pPr>
    </w:p>
    <w:p w:rsidR="008A183B" w:rsidRDefault="00E51724">
      <w:pPr>
        <w:spacing w:after="160" w:line="259" w:lineRule="auto"/>
        <w:rPr>
          <w:rFonts w:ascii="Verdana" w:hAnsi="Verdana"/>
          <w:b/>
          <w:sz w:val="22"/>
          <w:szCs w:val="22"/>
        </w:rPr>
      </w:pPr>
      <w:r>
        <w:rPr>
          <w:noProof/>
        </w:rPr>
        <w:drawing>
          <wp:inline distT="0" distB="0" distL="0" distR="0" wp14:anchorId="4E7F0246" wp14:editId="46F75B2A">
            <wp:extent cx="5753100" cy="54387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A183B">
        <w:rPr>
          <w:rFonts w:ascii="Verdana" w:hAnsi="Verdana"/>
          <w:b/>
          <w:sz w:val="22"/>
          <w:szCs w:val="22"/>
        </w:rPr>
        <w:br w:type="page"/>
      </w:r>
    </w:p>
    <w:p w:rsidR="00CA2711" w:rsidRPr="009264B9" w:rsidRDefault="00CA2711" w:rsidP="00CA2711">
      <w:pPr>
        <w:keepNext/>
        <w:spacing w:before="120" w:after="120"/>
        <w:jc w:val="center"/>
        <w:rPr>
          <w:rFonts w:ascii="Verdana" w:hAnsi="Verdana"/>
          <w:b/>
          <w:sz w:val="22"/>
          <w:szCs w:val="22"/>
        </w:rPr>
      </w:pPr>
      <w:r w:rsidRPr="009264B9">
        <w:rPr>
          <w:rFonts w:ascii="Verdana" w:hAnsi="Verdana"/>
          <w:b/>
          <w:sz w:val="22"/>
          <w:szCs w:val="22"/>
        </w:rPr>
        <w:t>EVOLUCIÓN DEL ESTADO DE INGRESOS</w:t>
      </w:r>
    </w:p>
    <w:p w:rsidR="00CA2711" w:rsidRPr="009264B9" w:rsidRDefault="009C40A5" w:rsidP="00CA2711">
      <w:pPr>
        <w:keepNext/>
        <w:spacing w:before="120" w:after="120"/>
        <w:jc w:val="center"/>
        <w:rPr>
          <w:rFonts w:ascii="Verdana" w:hAnsi="Verdana"/>
          <w:b/>
          <w:sz w:val="22"/>
          <w:szCs w:val="22"/>
        </w:rPr>
      </w:pPr>
      <w:r>
        <w:rPr>
          <w:rFonts w:ascii="Verdana" w:hAnsi="Verdana"/>
          <w:b/>
          <w:sz w:val="22"/>
          <w:szCs w:val="22"/>
        </w:rPr>
        <w:t>1998-2019</w:t>
      </w:r>
    </w:p>
    <w:p w:rsidR="00CA2711" w:rsidRPr="009264B9" w:rsidRDefault="00CA2711" w:rsidP="00CA2711">
      <w:pPr>
        <w:spacing w:before="120" w:after="120"/>
        <w:jc w:val="both"/>
        <w:rPr>
          <w:rFonts w:ascii="Verdana" w:hAnsi="Verdana" w:cs="Verdana"/>
          <w:sz w:val="22"/>
          <w:szCs w:val="22"/>
        </w:rPr>
      </w:pPr>
    </w:p>
    <w:p w:rsidR="00C85A0D" w:rsidRDefault="009C40A5" w:rsidP="008A183B">
      <w:pPr>
        <w:jc w:val="center"/>
      </w:pPr>
      <w:r>
        <w:rPr>
          <w:noProof/>
        </w:rPr>
        <w:drawing>
          <wp:inline distT="0" distB="0" distL="0" distR="0" wp14:anchorId="0C443D72" wp14:editId="5902C1AE">
            <wp:extent cx="5400040" cy="4686300"/>
            <wp:effectExtent l="0" t="0" r="1016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C85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2FE"/>
    <w:multiLevelType w:val="hybridMultilevel"/>
    <w:tmpl w:val="399A2EAA"/>
    <w:lvl w:ilvl="0" w:tplc="D6FC2106">
      <w:start w:val="1"/>
      <w:numFmt w:val="bullet"/>
      <w:lvlText w:val="o"/>
      <w:lvlJc w:val="left"/>
      <w:pPr>
        <w:tabs>
          <w:tab w:val="num" w:pos="1429"/>
        </w:tabs>
        <w:ind w:left="1429" w:hanging="360"/>
      </w:pPr>
      <w:rPr>
        <w:rFonts w:ascii="Courier New" w:hAnsi="Courier New"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3652CD8"/>
    <w:multiLevelType w:val="hybridMultilevel"/>
    <w:tmpl w:val="207EF2E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450F21DC"/>
    <w:multiLevelType w:val="hybridMultilevel"/>
    <w:tmpl w:val="14FAFEA8"/>
    <w:lvl w:ilvl="0" w:tplc="0C0A000F">
      <w:start w:val="1"/>
      <w:numFmt w:val="decimal"/>
      <w:lvlText w:val="%1."/>
      <w:lvlJc w:val="left"/>
      <w:pPr>
        <w:ind w:left="1778" w:hanging="360"/>
      </w:pPr>
      <w:rPr>
        <w:b/>
        <w:bCs/>
        <w:sz w:val="22"/>
        <w:szCs w:val="22"/>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11"/>
    <w:rsid w:val="001A242B"/>
    <w:rsid w:val="001C4F5E"/>
    <w:rsid w:val="002705B2"/>
    <w:rsid w:val="003F7434"/>
    <w:rsid w:val="00462285"/>
    <w:rsid w:val="004E65E8"/>
    <w:rsid w:val="00504CE1"/>
    <w:rsid w:val="00593655"/>
    <w:rsid w:val="00617236"/>
    <w:rsid w:val="00623A29"/>
    <w:rsid w:val="00682CE1"/>
    <w:rsid w:val="0068310D"/>
    <w:rsid w:val="0069382A"/>
    <w:rsid w:val="006E29D3"/>
    <w:rsid w:val="007856DC"/>
    <w:rsid w:val="008500F8"/>
    <w:rsid w:val="008A183B"/>
    <w:rsid w:val="00946E8A"/>
    <w:rsid w:val="009C40A5"/>
    <w:rsid w:val="009E27AF"/>
    <w:rsid w:val="00A35AF8"/>
    <w:rsid w:val="00AA3632"/>
    <w:rsid w:val="00AE27C5"/>
    <w:rsid w:val="00AE78EB"/>
    <w:rsid w:val="00CA2711"/>
    <w:rsid w:val="00D54533"/>
    <w:rsid w:val="00D654FF"/>
    <w:rsid w:val="00E51724"/>
    <w:rsid w:val="00ED0F8D"/>
    <w:rsid w:val="00ED49B2"/>
    <w:rsid w:val="00FB5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99C13"/>
  <w15:chartTrackingRefBased/>
  <w15:docId w15:val="{06223249-4497-4B5F-8EF8-7A891CF3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11"/>
    <w:pPr>
      <w:spacing w:after="0" w:line="240" w:lineRule="auto"/>
    </w:pPr>
    <w:rPr>
      <w:rFonts w:ascii="Times New Roman" w:eastAsia="Calibri" w:hAnsi="Times New Roman" w:cs="Times New Roman"/>
      <w:sz w:val="24"/>
      <w:szCs w:val="24"/>
      <w:lang w:eastAsia="es-ES"/>
    </w:rPr>
  </w:style>
  <w:style w:type="paragraph" w:styleId="Ttulo7">
    <w:name w:val="heading 7"/>
    <w:basedOn w:val="Normal"/>
    <w:next w:val="Normal"/>
    <w:link w:val="Ttulo7Car"/>
    <w:qFormat/>
    <w:rsid w:val="00CA27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CA2711"/>
    <w:rPr>
      <w:rFonts w:ascii="Times New Roman" w:eastAsia="Calibri" w:hAnsi="Times New Roman" w:cs="Times New Roman"/>
      <w:sz w:val="24"/>
      <w:szCs w:val="24"/>
      <w:lang w:eastAsia="es-ES"/>
    </w:rPr>
  </w:style>
  <w:style w:type="paragraph" w:styleId="Sangra2detindependiente">
    <w:name w:val="Body Text Indent 2"/>
    <w:basedOn w:val="Normal"/>
    <w:link w:val="Sangra2detindependienteCar"/>
    <w:rsid w:val="00CA2711"/>
    <w:pPr>
      <w:spacing w:after="120" w:line="360" w:lineRule="auto"/>
      <w:ind w:firstLine="708"/>
      <w:jc w:val="both"/>
    </w:pPr>
    <w:rPr>
      <w:rFonts w:ascii="Verdana" w:hAnsi="Verdana" w:cs="Verdana"/>
      <w:sz w:val="16"/>
      <w:szCs w:val="16"/>
      <w:lang w:val="es-ES_tradnl"/>
    </w:rPr>
  </w:style>
  <w:style w:type="character" w:customStyle="1" w:styleId="Sangra2detindependienteCar">
    <w:name w:val="Sangría 2 de t. independiente Car"/>
    <w:basedOn w:val="Fuentedeprrafopredeter"/>
    <w:link w:val="Sangra2detindependiente"/>
    <w:rsid w:val="00CA2711"/>
    <w:rPr>
      <w:rFonts w:ascii="Verdana" w:eastAsia="Calibri" w:hAnsi="Verdana" w:cs="Verdana"/>
      <w:sz w:val="16"/>
      <w:szCs w:val="16"/>
      <w:lang w:val="es-ES_tradnl" w:eastAsia="es-ES"/>
    </w:rPr>
  </w:style>
  <w:style w:type="paragraph" w:styleId="Sangradetextonormal">
    <w:name w:val="Body Text Indent"/>
    <w:basedOn w:val="Normal"/>
    <w:link w:val="SangradetextonormalCar"/>
    <w:rsid w:val="00CA2711"/>
    <w:pPr>
      <w:spacing w:after="120"/>
      <w:ind w:left="283"/>
    </w:pPr>
  </w:style>
  <w:style w:type="character" w:customStyle="1" w:styleId="SangradetextonormalCar">
    <w:name w:val="Sangría de texto normal Car"/>
    <w:basedOn w:val="Fuentedeprrafopredeter"/>
    <w:link w:val="Sangradetextonormal"/>
    <w:rsid w:val="00CA2711"/>
    <w:rPr>
      <w:rFonts w:ascii="Times New Roman" w:eastAsia="Calibri" w:hAnsi="Times New Roman" w:cs="Times New Roman"/>
      <w:sz w:val="24"/>
      <w:szCs w:val="24"/>
      <w:lang w:eastAsia="es-ES"/>
    </w:rPr>
  </w:style>
  <w:style w:type="paragraph" w:styleId="Textoindependiente">
    <w:name w:val="Body Text"/>
    <w:basedOn w:val="Normal"/>
    <w:link w:val="TextoindependienteCar"/>
    <w:uiPriority w:val="99"/>
    <w:semiHidden/>
    <w:unhideWhenUsed/>
    <w:rsid w:val="00FB5E74"/>
    <w:pPr>
      <w:spacing w:after="120"/>
    </w:pPr>
  </w:style>
  <w:style w:type="character" w:customStyle="1" w:styleId="TextoindependienteCar">
    <w:name w:val="Texto independiente Car"/>
    <w:basedOn w:val="Fuentedeprrafopredeter"/>
    <w:link w:val="Textoindependiente"/>
    <w:uiPriority w:val="99"/>
    <w:semiHidden/>
    <w:rsid w:val="00FB5E74"/>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711">
      <w:bodyDiv w:val="1"/>
      <w:marLeft w:val="0"/>
      <w:marRight w:val="0"/>
      <w:marTop w:val="0"/>
      <w:marBottom w:val="0"/>
      <w:divBdr>
        <w:top w:val="none" w:sz="0" w:space="0" w:color="auto"/>
        <w:left w:val="none" w:sz="0" w:space="0" w:color="auto"/>
        <w:bottom w:val="none" w:sz="0" w:space="0" w:color="auto"/>
        <w:right w:val="none" w:sz="0" w:space="0" w:color="auto"/>
      </w:divBdr>
    </w:div>
    <w:div w:id="396321778">
      <w:bodyDiv w:val="1"/>
      <w:marLeft w:val="0"/>
      <w:marRight w:val="0"/>
      <w:marTop w:val="0"/>
      <w:marBottom w:val="0"/>
      <w:divBdr>
        <w:top w:val="none" w:sz="0" w:space="0" w:color="auto"/>
        <w:left w:val="none" w:sz="0" w:space="0" w:color="auto"/>
        <w:bottom w:val="none" w:sz="0" w:space="0" w:color="auto"/>
        <w:right w:val="none" w:sz="0" w:space="0" w:color="auto"/>
      </w:divBdr>
    </w:div>
    <w:div w:id="741483399">
      <w:bodyDiv w:val="1"/>
      <w:marLeft w:val="0"/>
      <w:marRight w:val="0"/>
      <w:marTop w:val="0"/>
      <w:marBottom w:val="0"/>
      <w:divBdr>
        <w:top w:val="none" w:sz="0" w:space="0" w:color="auto"/>
        <w:left w:val="none" w:sz="0" w:space="0" w:color="auto"/>
        <w:bottom w:val="none" w:sz="0" w:space="0" w:color="auto"/>
        <w:right w:val="none" w:sz="0" w:space="0" w:color="auto"/>
      </w:divBdr>
    </w:div>
    <w:div w:id="1282415146">
      <w:bodyDiv w:val="1"/>
      <w:marLeft w:val="0"/>
      <w:marRight w:val="0"/>
      <w:marTop w:val="0"/>
      <w:marBottom w:val="0"/>
      <w:divBdr>
        <w:top w:val="none" w:sz="0" w:space="0" w:color="auto"/>
        <w:left w:val="none" w:sz="0" w:space="0" w:color="auto"/>
        <w:bottom w:val="none" w:sz="0" w:space="0" w:color="auto"/>
        <w:right w:val="none" w:sz="0" w:space="0" w:color="auto"/>
      </w:divBdr>
    </w:div>
    <w:div w:id="1762749567">
      <w:bodyDiv w:val="1"/>
      <w:marLeft w:val="0"/>
      <w:marRight w:val="0"/>
      <w:marTop w:val="0"/>
      <w:marBottom w:val="0"/>
      <w:divBdr>
        <w:top w:val="none" w:sz="0" w:space="0" w:color="auto"/>
        <w:left w:val="none" w:sz="0" w:space="0" w:color="auto"/>
        <w:bottom w:val="none" w:sz="0" w:space="0" w:color="auto"/>
        <w:right w:val="none" w:sz="0" w:space="0" w:color="auto"/>
      </w:divBdr>
    </w:div>
    <w:div w:id="1869102070">
      <w:bodyDiv w:val="1"/>
      <w:marLeft w:val="0"/>
      <w:marRight w:val="0"/>
      <w:marTop w:val="0"/>
      <w:marBottom w:val="0"/>
      <w:divBdr>
        <w:top w:val="none" w:sz="0" w:space="0" w:color="auto"/>
        <w:left w:val="none" w:sz="0" w:space="0" w:color="auto"/>
        <w:bottom w:val="none" w:sz="0" w:space="0" w:color="auto"/>
        <w:right w:val="none" w:sz="0" w:space="0" w:color="auto"/>
      </w:divBdr>
    </w:div>
    <w:div w:id="1957908729">
      <w:bodyDiv w:val="1"/>
      <w:marLeft w:val="0"/>
      <w:marRight w:val="0"/>
      <w:marTop w:val="0"/>
      <w:marBottom w:val="0"/>
      <w:divBdr>
        <w:top w:val="none" w:sz="0" w:space="0" w:color="auto"/>
        <w:left w:val="none" w:sz="0" w:space="0" w:color="auto"/>
        <w:bottom w:val="none" w:sz="0" w:space="0" w:color="auto"/>
        <w:right w:val="none" w:sz="0" w:space="0" w:color="auto"/>
      </w:divBdr>
    </w:div>
    <w:div w:id="21099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INGRESOS</a:t>
            </a:r>
          </a:p>
        </c:rich>
      </c:tx>
      <c:layout/>
      <c:overlay val="0"/>
    </c:title>
    <c:autoTitleDeleted val="0"/>
    <c:plotArea>
      <c:layout/>
      <c:pie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'[Evolución gastos ingresos desde 98 -M. Académica 2019.xlsx]Ingresos-gastos corriente'!$A$3:$A$7</c:f>
              <c:strCache>
                <c:ptCount val="5"/>
                <c:pt idx="0">
                  <c:v>Capítulo 3: Tasas,Precios Públicos y Otros I.</c:v>
                </c:pt>
                <c:pt idx="1">
                  <c:v>Capítulo 4: Transferencias Corrientes</c:v>
                </c:pt>
                <c:pt idx="2">
                  <c:v>Capítulo 5: Ingresos Patrimoniales</c:v>
                </c:pt>
                <c:pt idx="3">
                  <c:v>Capítulo 7: Transferencias de Capital</c:v>
                </c:pt>
                <c:pt idx="4">
                  <c:v>Capítulo 8: Activos Financieros</c:v>
                </c:pt>
              </c:strCache>
            </c:strRef>
          </c:cat>
          <c:val>
            <c:numRef>
              <c:f>'[Evolución gastos ingresos desde 98 -M. Académica 2019.xlsx]Ingresos-gastos corriente'!$B$3:$B$7</c:f>
              <c:numCache>
                <c:formatCode>#,##0.00</c:formatCode>
                <c:ptCount val="5"/>
                <c:pt idx="0">
                  <c:v>16785817.050000001</c:v>
                </c:pt>
                <c:pt idx="1">
                  <c:v>79401096.939999998</c:v>
                </c:pt>
                <c:pt idx="2">
                  <c:v>407000</c:v>
                </c:pt>
                <c:pt idx="3">
                  <c:v>5226910</c:v>
                </c:pt>
                <c:pt idx="4">
                  <c:v>4370431.53</c:v>
                </c:pt>
              </c:numCache>
            </c:numRef>
          </c:val>
          <c:extLst>
            <c:ext xmlns:c16="http://schemas.microsoft.com/office/drawing/2014/chart" uri="{C3380CC4-5D6E-409C-BE32-E72D297353CC}">
              <c16:uniqueId val="{00000000-C5C1-4E07-B7B4-E067EADB3CEF}"/>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'[Evolución gastos ingresos desde 98 -M. Académica 2019.xlsx]Ingresos-gastos corriente'!$A$3:$A$7</c:f>
              <c:strCache>
                <c:ptCount val="5"/>
                <c:pt idx="0">
                  <c:v>Capítulo 3: Tasas,Precios Públicos y Otros I.</c:v>
                </c:pt>
                <c:pt idx="1">
                  <c:v>Capítulo 4: Transferencias Corrientes</c:v>
                </c:pt>
                <c:pt idx="2">
                  <c:v>Capítulo 5: Ingresos Patrimoniales</c:v>
                </c:pt>
                <c:pt idx="3">
                  <c:v>Capítulo 7: Transferencias de Capital</c:v>
                </c:pt>
                <c:pt idx="4">
                  <c:v>Capítulo 8: Activos Financieros</c:v>
                </c:pt>
              </c:strCache>
            </c:strRef>
          </c:cat>
          <c:val>
            <c:numRef>
              <c:f>'[Evolución gastos ingresos desde 98 -M. Académica 2019.xlsx]Ingresos-gastos corriente'!$C$3:$C$7</c:f>
              <c:numCache>
                <c:formatCode>General</c:formatCode>
                <c:ptCount val="5"/>
                <c:pt idx="0">
                  <c:v>15.81</c:v>
                </c:pt>
                <c:pt idx="1">
                  <c:v>74.77</c:v>
                </c:pt>
                <c:pt idx="2">
                  <c:v>0.38</c:v>
                </c:pt>
                <c:pt idx="3">
                  <c:v>4.92</c:v>
                </c:pt>
                <c:pt idx="4">
                  <c:v>4.12</c:v>
                </c:pt>
              </c:numCache>
            </c:numRef>
          </c:val>
          <c:extLst>
            <c:ext xmlns:c16="http://schemas.microsoft.com/office/drawing/2014/chart" uri="{C3380CC4-5D6E-409C-BE32-E72D297353CC}">
              <c16:uniqueId val="{00000001-C5C1-4E07-B7B4-E067EADB3CEF}"/>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es-E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GASTOS</a:t>
            </a:r>
          </a:p>
        </c:rich>
      </c:tx>
      <c:layout/>
      <c:overlay val="0"/>
    </c:title>
    <c:autoTitleDeleted val="0"/>
    <c:plotArea>
      <c:layout/>
      <c:pie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'[Evolución gastos ingresos desde 98 -M. Académica 2019.xlsx]Ingresos-gastos corriente'!$A$11:$A$18</c:f>
              <c:strCache>
                <c:ptCount val="8"/>
                <c:pt idx="0">
                  <c:v>Capítulo 1: Gastos de Personal</c:v>
                </c:pt>
                <c:pt idx="1">
                  <c:v>Capítulo 2: Compra de Bienes y Gts. de Fto.</c:v>
                </c:pt>
                <c:pt idx="2">
                  <c:v>Capítulo 3: Gastos Financieros</c:v>
                </c:pt>
                <c:pt idx="3">
                  <c:v>Capítulo 4: Transferencias Corrientes</c:v>
                </c:pt>
                <c:pt idx="4">
                  <c:v>Capítulo 6: Inversiones Reales</c:v>
                </c:pt>
                <c:pt idx="5">
                  <c:v>Capítulo 7: Transferencias de Capital</c:v>
                </c:pt>
                <c:pt idx="6">
                  <c:v>Capítulo 8: Activos Financieros</c:v>
                </c:pt>
                <c:pt idx="7">
                  <c:v>Capítulo 9: Pasivos Financieros</c:v>
                </c:pt>
              </c:strCache>
            </c:strRef>
          </c:cat>
          <c:val>
            <c:numRef>
              <c:f>'[Evolución gastos ingresos desde 98 -M. Académica 2019.xlsx]Ingresos-gastos corriente'!$B$11:$B$18</c:f>
              <c:numCache>
                <c:formatCode>#,##0.00</c:formatCode>
                <c:ptCount val="8"/>
                <c:pt idx="0">
                  <c:v>60209736.649999999</c:v>
                </c:pt>
                <c:pt idx="1">
                  <c:v>24307332.440000001</c:v>
                </c:pt>
                <c:pt idx="2">
                  <c:v>419743.59</c:v>
                </c:pt>
                <c:pt idx="3">
                  <c:v>5492565.1299999999</c:v>
                </c:pt>
                <c:pt idx="4">
                  <c:v>11300517.880000001</c:v>
                </c:pt>
                <c:pt idx="5">
                  <c:v>28000</c:v>
                </c:pt>
                <c:pt idx="6">
                  <c:v>2000</c:v>
                </c:pt>
                <c:pt idx="7">
                  <c:v>4431359.83</c:v>
                </c:pt>
              </c:numCache>
            </c:numRef>
          </c:val>
          <c:extLst>
            <c:ext xmlns:c16="http://schemas.microsoft.com/office/drawing/2014/chart" uri="{C3380CC4-5D6E-409C-BE32-E72D297353CC}">
              <c16:uniqueId val="{00000000-EF50-43D5-A6E3-11D0082BD3F7}"/>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'[Evolución gastos ingresos desde 98 -M. Académica 2019.xlsx]Ingresos-gastos corriente'!$A$11:$A$18</c:f>
              <c:strCache>
                <c:ptCount val="8"/>
                <c:pt idx="0">
                  <c:v>Capítulo 1: Gastos de Personal</c:v>
                </c:pt>
                <c:pt idx="1">
                  <c:v>Capítulo 2: Compra de Bienes y Gts. de Fto.</c:v>
                </c:pt>
                <c:pt idx="2">
                  <c:v>Capítulo 3: Gastos Financieros</c:v>
                </c:pt>
                <c:pt idx="3">
                  <c:v>Capítulo 4: Transferencias Corrientes</c:v>
                </c:pt>
                <c:pt idx="4">
                  <c:v>Capítulo 6: Inversiones Reales</c:v>
                </c:pt>
                <c:pt idx="5">
                  <c:v>Capítulo 7: Transferencias de Capital</c:v>
                </c:pt>
                <c:pt idx="6">
                  <c:v>Capítulo 8: Activos Financieros</c:v>
                </c:pt>
                <c:pt idx="7">
                  <c:v>Capítulo 9: Pasivos Financieros</c:v>
                </c:pt>
              </c:strCache>
            </c:strRef>
          </c:cat>
          <c:val>
            <c:numRef>
              <c:f>'[Evolución gastos ingresos desde 98 -M. Académica 2019.xlsx]Ingresos-gastos corriente'!$C$11:$C$18</c:f>
              <c:numCache>
                <c:formatCode>General</c:formatCode>
                <c:ptCount val="8"/>
                <c:pt idx="0">
                  <c:v>56.7</c:v>
                </c:pt>
                <c:pt idx="1">
                  <c:v>22.89</c:v>
                </c:pt>
                <c:pt idx="2">
                  <c:v>0.4</c:v>
                </c:pt>
                <c:pt idx="3">
                  <c:v>5.17</c:v>
                </c:pt>
                <c:pt idx="4">
                  <c:v>10.64</c:v>
                </c:pt>
                <c:pt idx="5">
                  <c:v>0.03</c:v>
                </c:pt>
                <c:pt idx="6">
                  <c:v>0</c:v>
                </c:pt>
                <c:pt idx="7">
                  <c:v>4.17</c:v>
                </c:pt>
              </c:numCache>
            </c:numRef>
          </c:val>
          <c:extLst>
            <c:ext xmlns:c16="http://schemas.microsoft.com/office/drawing/2014/chart" uri="{C3380CC4-5D6E-409C-BE32-E72D297353CC}">
              <c16:uniqueId val="{00000001-EF50-43D5-A6E3-11D0082BD3F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0578921716376701"/>
          <c:y val="0.25315329385479707"/>
          <c:w val="0.48943769208336135"/>
          <c:h val="0.66481160929264005"/>
        </c:manualLayout>
      </c:layout>
      <c:overlay val="0"/>
      <c:txPr>
        <a:bodyPr/>
        <a:lstStyle/>
        <a:p>
          <a:pPr rtl="0">
            <a:defRPr/>
          </a:pPr>
          <a:endParaRPr lang="es-E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EVOLUCIÓN</a:t>
            </a:r>
            <a:r>
              <a:rPr lang="es-ES" baseline="0"/>
              <a:t> DEL ESTADO DE GASTOS</a:t>
            </a:r>
            <a:endParaRPr lang="es-E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'comparativa gastos desde 1998'!$A$6</c:f>
              <c:strCache>
                <c:ptCount val="1"/>
                <c:pt idx="0">
                  <c:v>CAPITULOS</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val>
          <c:extLst>
            <c:ext xmlns:c16="http://schemas.microsoft.com/office/drawing/2014/chart" uri="{C3380CC4-5D6E-409C-BE32-E72D297353CC}">
              <c16:uniqueId val="{00000000-0BF1-40F9-9E50-61A7C6A1247C}"/>
            </c:ext>
          </c:extLst>
        </c:ser>
        <c:ser>
          <c:idx val="1"/>
          <c:order val="1"/>
          <c:tx>
            <c:strRef>
              <c:f>'comparativa gastos desde 1998'!$A$7</c:f>
              <c:strCache>
                <c:ptCount val="1"/>
                <c:pt idx="0">
                  <c:v>Capítulo 1: Gastos de Personal</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1998'!$B$7:$W$7</c:f>
              <c:numCache>
                <c:formatCode>#,##0.00\ "€"</c:formatCode>
                <c:ptCount val="22"/>
                <c:pt idx="0">
                  <c:v>17583882.808649767</c:v>
                </c:pt>
                <c:pt idx="1">
                  <c:v>18288569.621242173</c:v>
                </c:pt>
                <c:pt idx="2">
                  <c:v>20708322.719459571</c:v>
                </c:pt>
                <c:pt idx="3">
                  <c:v>22576496.826656088</c:v>
                </c:pt>
                <c:pt idx="4">
                  <c:v>24897732.419975236</c:v>
                </c:pt>
                <c:pt idx="5">
                  <c:v>32028010</c:v>
                </c:pt>
                <c:pt idx="6">
                  <c:v>34325608.999555252</c:v>
                </c:pt>
                <c:pt idx="7">
                  <c:v>35635989</c:v>
                </c:pt>
                <c:pt idx="8">
                  <c:v>39898980</c:v>
                </c:pt>
                <c:pt idx="9">
                  <c:v>41265100</c:v>
                </c:pt>
                <c:pt idx="10">
                  <c:v>43373010</c:v>
                </c:pt>
                <c:pt idx="11">
                  <c:v>46246560</c:v>
                </c:pt>
                <c:pt idx="12">
                  <c:v>47038600</c:v>
                </c:pt>
                <c:pt idx="13">
                  <c:v>46297770</c:v>
                </c:pt>
                <c:pt idx="14">
                  <c:v>44764506</c:v>
                </c:pt>
                <c:pt idx="15">
                  <c:v>44569340.130000003</c:v>
                </c:pt>
                <c:pt idx="16">
                  <c:v>44639282.689999998</c:v>
                </c:pt>
                <c:pt idx="17" formatCode="#,##0.00">
                  <c:v>47810471.759999998</c:v>
                </c:pt>
                <c:pt idx="18" formatCode="#,##0.00">
                  <c:v>52097607.859999999</c:v>
                </c:pt>
                <c:pt idx="19" formatCode="#,##0.00">
                  <c:v>53568849.600000001</c:v>
                </c:pt>
                <c:pt idx="20" formatCode="#,##0.00">
                  <c:v>57898298.869999997</c:v>
                </c:pt>
                <c:pt idx="21" formatCode="#,##0.00">
                  <c:v>60209736.649999999</c:v>
                </c:pt>
              </c:numCache>
            </c:numRef>
          </c:val>
          <c:extLst>
            <c:ext xmlns:c16="http://schemas.microsoft.com/office/drawing/2014/chart" uri="{C3380CC4-5D6E-409C-BE32-E72D297353CC}">
              <c16:uniqueId val="{00000001-0BF1-40F9-9E50-61A7C6A1247C}"/>
            </c:ext>
          </c:extLst>
        </c:ser>
        <c:ser>
          <c:idx val="2"/>
          <c:order val="2"/>
          <c:tx>
            <c:strRef>
              <c:f>'comparativa gastos desde 1998'!$A$8</c:f>
              <c:strCache>
                <c:ptCount val="1"/>
                <c:pt idx="0">
                  <c:v>Capítulo 2: Compra de Bienes y Gts. de Fto.</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1998'!$B$8:$W$8</c:f>
              <c:numCache>
                <c:formatCode>#,##0.00\ "€"</c:formatCode>
                <c:ptCount val="22"/>
                <c:pt idx="0">
                  <c:v>7302523.9503323603</c:v>
                </c:pt>
                <c:pt idx="1">
                  <c:v>8923629.8787157573</c:v>
                </c:pt>
                <c:pt idx="2">
                  <c:v>9275636.2674744278</c:v>
                </c:pt>
                <c:pt idx="3">
                  <c:v>9761107.3467719648</c:v>
                </c:pt>
                <c:pt idx="4">
                  <c:v>11112271.375957113</c:v>
                </c:pt>
                <c:pt idx="5">
                  <c:v>12810437.99995192</c:v>
                </c:pt>
                <c:pt idx="6">
                  <c:v>14043559.001358287</c:v>
                </c:pt>
                <c:pt idx="7">
                  <c:v>16218336</c:v>
                </c:pt>
                <c:pt idx="8">
                  <c:v>18492100</c:v>
                </c:pt>
                <c:pt idx="9">
                  <c:v>20319930</c:v>
                </c:pt>
                <c:pt idx="10">
                  <c:v>22570800</c:v>
                </c:pt>
                <c:pt idx="11">
                  <c:v>22570800</c:v>
                </c:pt>
                <c:pt idx="12">
                  <c:v>22370800</c:v>
                </c:pt>
                <c:pt idx="13">
                  <c:v>21496650</c:v>
                </c:pt>
                <c:pt idx="14">
                  <c:v>19055983</c:v>
                </c:pt>
                <c:pt idx="15">
                  <c:v>19478655.57</c:v>
                </c:pt>
                <c:pt idx="16">
                  <c:v>19697454.91</c:v>
                </c:pt>
                <c:pt idx="17">
                  <c:v>19459441.440000001</c:v>
                </c:pt>
                <c:pt idx="18">
                  <c:v>21990945.379999999</c:v>
                </c:pt>
                <c:pt idx="19">
                  <c:v>24179449.93</c:v>
                </c:pt>
                <c:pt idx="20" formatCode="#,##0.00">
                  <c:v>22845451.59</c:v>
                </c:pt>
                <c:pt idx="21" formatCode="#,##0.00">
                  <c:v>24307332.440000001</c:v>
                </c:pt>
              </c:numCache>
            </c:numRef>
          </c:val>
          <c:extLst>
            <c:ext xmlns:c16="http://schemas.microsoft.com/office/drawing/2014/chart" uri="{C3380CC4-5D6E-409C-BE32-E72D297353CC}">
              <c16:uniqueId val="{00000002-0BF1-40F9-9E50-61A7C6A1247C}"/>
            </c:ext>
          </c:extLst>
        </c:ser>
        <c:ser>
          <c:idx val="3"/>
          <c:order val="3"/>
          <c:tx>
            <c:strRef>
              <c:f>'comparativa gastos desde 1998'!$A$9</c:f>
              <c:strCache>
                <c:ptCount val="1"/>
                <c:pt idx="0">
                  <c:v>Capítulo 3: Gastos Financieros</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1998'!$B$9:$W$9</c:f>
              <c:numCache>
                <c:formatCode>#,##0.00\ "€"</c:formatCode>
                <c:ptCount val="22"/>
                <c:pt idx="0">
                  <c:v>136447.77805825009</c:v>
                </c:pt>
                <c:pt idx="1">
                  <c:v>418262.3538038056</c:v>
                </c:pt>
                <c:pt idx="2">
                  <c:v>2109098.722248266</c:v>
                </c:pt>
                <c:pt idx="3">
                  <c:v>3222037.9118435448</c:v>
                </c:pt>
                <c:pt idx="4">
                  <c:v>3222037.9058334236</c:v>
                </c:pt>
                <c:pt idx="5">
                  <c:v>3536445</c:v>
                </c:pt>
                <c:pt idx="6">
                  <c:v>4284406.0017068749</c:v>
                </c:pt>
                <c:pt idx="7">
                  <c:v>4945336</c:v>
                </c:pt>
                <c:pt idx="8">
                  <c:v>3508670</c:v>
                </c:pt>
                <c:pt idx="9">
                  <c:v>3630940</c:v>
                </c:pt>
                <c:pt idx="10">
                  <c:v>4588240</c:v>
                </c:pt>
                <c:pt idx="11">
                  <c:v>3000650</c:v>
                </c:pt>
                <c:pt idx="12">
                  <c:v>2742850</c:v>
                </c:pt>
                <c:pt idx="13">
                  <c:v>1311850</c:v>
                </c:pt>
                <c:pt idx="14">
                  <c:v>2332133</c:v>
                </c:pt>
                <c:pt idx="15">
                  <c:v>2104470</c:v>
                </c:pt>
                <c:pt idx="16">
                  <c:v>1721669</c:v>
                </c:pt>
                <c:pt idx="17">
                  <c:v>1458873</c:v>
                </c:pt>
                <c:pt idx="18">
                  <c:v>1201076.77</c:v>
                </c:pt>
                <c:pt idx="19">
                  <c:v>943281.52</c:v>
                </c:pt>
                <c:pt idx="20" formatCode="#,##0.00">
                  <c:v>680490</c:v>
                </c:pt>
                <c:pt idx="21" formatCode="#,##0.00">
                  <c:v>419743.59</c:v>
                </c:pt>
              </c:numCache>
            </c:numRef>
          </c:val>
          <c:extLst>
            <c:ext xmlns:c16="http://schemas.microsoft.com/office/drawing/2014/chart" uri="{C3380CC4-5D6E-409C-BE32-E72D297353CC}">
              <c16:uniqueId val="{00000003-0BF1-40F9-9E50-61A7C6A1247C}"/>
            </c:ext>
          </c:extLst>
        </c:ser>
        <c:ser>
          <c:idx val="4"/>
          <c:order val="4"/>
          <c:tx>
            <c:strRef>
              <c:f>'comparativa gastos desde 1998'!$A$10</c:f>
              <c:strCache>
                <c:ptCount val="1"/>
                <c:pt idx="0">
                  <c:v>Capítulo 4: Transferencias Corrientes</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1998'!$B$10:$W$10</c:f>
              <c:numCache>
                <c:formatCode>#,##0.00\ "€"</c:formatCode>
                <c:ptCount val="22"/>
                <c:pt idx="0">
                  <c:v>60101.210438378228</c:v>
                </c:pt>
                <c:pt idx="1">
                  <c:v>82939.670404961958</c:v>
                </c:pt>
                <c:pt idx="2">
                  <c:v>208479.0787686464</c:v>
                </c:pt>
                <c:pt idx="3">
                  <c:v>316132.36690586951</c:v>
                </c:pt>
                <c:pt idx="4">
                  <c:v>632549.72996526153</c:v>
                </c:pt>
                <c:pt idx="5">
                  <c:v>1287955</c:v>
                </c:pt>
                <c:pt idx="6">
                  <c:v>1352552.9972473646</c:v>
                </c:pt>
                <c:pt idx="7">
                  <c:v>1640569</c:v>
                </c:pt>
                <c:pt idx="8">
                  <c:v>2213010</c:v>
                </c:pt>
                <c:pt idx="9">
                  <c:v>2668700</c:v>
                </c:pt>
                <c:pt idx="10">
                  <c:v>3115530</c:v>
                </c:pt>
                <c:pt idx="11">
                  <c:v>3280580</c:v>
                </c:pt>
                <c:pt idx="12">
                  <c:v>3641570</c:v>
                </c:pt>
                <c:pt idx="13">
                  <c:v>3023580</c:v>
                </c:pt>
                <c:pt idx="14">
                  <c:v>3612789</c:v>
                </c:pt>
                <c:pt idx="15">
                  <c:v>5403235.75</c:v>
                </c:pt>
                <c:pt idx="16">
                  <c:v>5367074.4000000004</c:v>
                </c:pt>
                <c:pt idx="17">
                  <c:v>6232708.8899999997</c:v>
                </c:pt>
                <c:pt idx="18">
                  <c:v>7110104.7800000003</c:v>
                </c:pt>
                <c:pt idx="19">
                  <c:v>4428883</c:v>
                </c:pt>
                <c:pt idx="20" formatCode="#,##0.00">
                  <c:v>4827483.0199999996</c:v>
                </c:pt>
                <c:pt idx="21" formatCode="#,##0.00">
                  <c:v>5492565.1299999999</c:v>
                </c:pt>
              </c:numCache>
            </c:numRef>
          </c:val>
          <c:extLst>
            <c:ext xmlns:c16="http://schemas.microsoft.com/office/drawing/2014/chart" uri="{C3380CC4-5D6E-409C-BE32-E72D297353CC}">
              <c16:uniqueId val="{00000004-0BF1-40F9-9E50-61A7C6A1247C}"/>
            </c:ext>
          </c:extLst>
        </c:ser>
        <c:ser>
          <c:idx val="5"/>
          <c:order val="5"/>
          <c:tx>
            <c:strRef>
              <c:f>'comparativa gastos desde 1998'!$A$11</c:f>
              <c:strCache>
                <c:ptCount val="1"/>
                <c:pt idx="0">
                  <c:v>Capítulo 6: Inversiones Reales</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1998'!$B$11:$W$11</c:f>
              <c:numCache>
                <c:formatCode>#,##0.00\ "€"</c:formatCode>
                <c:ptCount val="22"/>
                <c:pt idx="0">
                  <c:v>53803406.446455836</c:v>
                </c:pt>
                <c:pt idx="1">
                  <c:v>19983652.470760763</c:v>
                </c:pt>
                <c:pt idx="2">
                  <c:v>22648213.95429904</c:v>
                </c:pt>
                <c:pt idx="3">
                  <c:v>34383902.491796188</c:v>
                </c:pt>
                <c:pt idx="4">
                  <c:v>28731804.359982211</c:v>
                </c:pt>
                <c:pt idx="5">
                  <c:v>19506581.999987982</c:v>
                </c:pt>
                <c:pt idx="6">
                  <c:v>6429505.0004207082</c:v>
                </c:pt>
                <c:pt idx="7">
                  <c:v>6721153</c:v>
                </c:pt>
                <c:pt idx="8">
                  <c:v>25556990</c:v>
                </c:pt>
                <c:pt idx="9">
                  <c:v>34324560</c:v>
                </c:pt>
                <c:pt idx="10">
                  <c:v>7812890</c:v>
                </c:pt>
                <c:pt idx="11">
                  <c:v>17003570</c:v>
                </c:pt>
                <c:pt idx="12">
                  <c:v>14887460</c:v>
                </c:pt>
                <c:pt idx="13">
                  <c:v>15899800</c:v>
                </c:pt>
                <c:pt idx="14">
                  <c:v>13689235</c:v>
                </c:pt>
                <c:pt idx="15">
                  <c:v>9487820</c:v>
                </c:pt>
                <c:pt idx="16">
                  <c:v>8236240</c:v>
                </c:pt>
                <c:pt idx="17">
                  <c:v>8435690</c:v>
                </c:pt>
                <c:pt idx="18">
                  <c:v>6987982.7999999998</c:v>
                </c:pt>
                <c:pt idx="19">
                  <c:v>10491855</c:v>
                </c:pt>
                <c:pt idx="20" formatCode="#,##0.00">
                  <c:v>16365338.779999999</c:v>
                </c:pt>
                <c:pt idx="21" formatCode="#,##0.00">
                  <c:v>11300517.880000001</c:v>
                </c:pt>
              </c:numCache>
            </c:numRef>
          </c:val>
          <c:extLst>
            <c:ext xmlns:c16="http://schemas.microsoft.com/office/drawing/2014/chart" uri="{C3380CC4-5D6E-409C-BE32-E72D297353CC}">
              <c16:uniqueId val="{00000005-0BF1-40F9-9E50-61A7C6A1247C}"/>
            </c:ext>
          </c:extLst>
        </c:ser>
        <c:ser>
          <c:idx val="6"/>
          <c:order val="6"/>
          <c:tx>
            <c:strRef>
              <c:f>'comparativa gastos desde 1998'!$A$12</c:f>
              <c:strCache>
                <c:ptCount val="1"/>
                <c:pt idx="0">
                  <c:v>Capitulo 7: Transferencia de Capital</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1998'!$B$12:$W$12</c:f>
              <c:numCache>
                <c:formatCode>#,##0.00\ "€"</c:formatCode>
                <c:ptCount val="22"/>
                <c:pt idx="0">
                  <c:v>0</c:v>
                </c:pt>
                <c:pt idx="1">
                  <c:v>0</c:v>
                </c:pt>
                <c:pt idx="2">
                  <c:v>0</c:v>
                </c:pt>
                <c:pt idx="3">
                  <c:v>0</c:v>
                </c:pt>
                <c:pt idx="4">
                  <c:v>0</c:v>
                </c:pt>
                <c:pt idx="5">
                  <c:v>0</c:v>
                </c:pt>
                <c:pt idx="6">
                  <c:v>0</c:v>
                </c:pt>
                <c:pt idx="7">
                  <c:v>0</c:v>
                </c:pt>
                <c:pt idx="8">
                  <c:v>0</c:v>
                </c:pt>
                <c:pt idx="9">
                  <c:v>0</c:v>
                </c:pt>
                <c:pt idx="10">
                  <c:v>269990</c:v>
                </c:pt>
                <c:pt idx="11">
                  <c:v>199990</c:v>
                </c:pt>
                <c:pt idx="12">
                  <c:v>0</c:v>
                </c:pt>
                <c:pt idx="13">
                  <c:v>0</c:v>
                </c:pt>
                <c:pt idx="14">
                  <c:v>0</c:v>
                </c:pt>
                <c:pt idx="15">
                  <c:v>0</c:v>
                </c:pt>
                <c:pt idx="16">
                  <c:v>0</c:v>
                </c:pt>
                <c:pt idx="17">
                  <c:v>36000</c:v>
                </c:pt>
                <c:pt idx="18">
                  <c:v>53000</c:v>
                </c:pt>
                <c:pt idx="19">
                  <c:v>45000</c:v>
                </c:pt>
                <c:pt idx="20" formatCode="#,##0.00">
                  <c:v>20000</c:v>
                </c:pt>
                <c:pt idx="21" formatCode="#,##0.00">
                  <c:v>28000</c:v>
                </c:pt>
              </c:numCache>
            </c:numRef>
          </c:val>
          <c:extLst>
            <c:ext xmlns:c16="http://schemas.microsoft.com/office/drawing/2014/chart" uri="{C3380CC4-5D6E-409C-BE32-E72D297353CC}">
              <c16:uniqueId val="{00000006-0BF1-40F9-9E50-61A7C6A1247C}"/>
            </c:ext>
          </c:extLst>
        </c:ser>
        <c:ser>
          <c:idx val="7"/>
          <c:order val="7"/>
          <c:tx>
            <c:strRef>
              <c:f>'comparativa gastos desde 1998'!$A$13</c:f>
              <c:strCache>
                <c:ptCount val="1"/>
                <c:pt idx="0">
                  <c:v>Capítulo 8: Activos Financieros</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1998'!$B$13:$W$13</c:f>
              <c:numCache>
                <c:formatCode>#,##0.00\ "€"</c:formatCode>
                <c:ptCount val="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2000</c:v>
                </c:pt>
                <c:pt idx="20" formatCode="#,##0.00">
                  <c:v>1500</c:v>
                </c:pt>
                <c:pt idx="21" formatCode="#,##0.00">
                  <c:v>2000</c:v>
                </c:pt>
              </c:numCache>
            </c:numRef>
          </c:val>
          <c:extLst>
            <c:ext xmlns:c16="http://schemas.microsoft.com/office/drawing/2014/chart" uri="{C3380CC4-5D6E-409C-BE32-E72D297353CC}">
              <c16:uniqueId val="{00000007-0BF1-40F9-9E50-61A7C6A1247C}"/>
            </c:ext>
          </c:extLst>
        </c:ser>
        <c:ser>
          <c:idx val="8"/>
          <c:order val="8"/>
          <c:tx>
            <c:strRef>
              <c:f>'comparativa gastos desde 1998'!$A$14</c:f>
              <c:strCache>
                <c:ptCount val="1"/>
                <c:pt idx="0">
                  <c:v>Capítulo 9: Pasivos Financieros</c:v>
                </c:pt>
              </c:strCache>
            </c:strRef>
          </c:tx>
          <c:invertIfNegative val="0"/>
          <c:cat>
            <c:numRef>
              <c:f>'comparativa gastos desde 1998'!$B$6:$W$6</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gastos desde 1998'!$B$14:$W$14</c:f>
              <c:numCache>
                <c:formatCode>#,##0.00\ "€"</c:formatCode>
                <c:ptCount val="22"/>
                <c:pt idx="0">
                  <c:v>0</c:v>
                </c:pt>
                <c:pt idx="1">
                  <c:v>0</c:v>
                </c:pt>
                <c:pt idx="2">
                  <c:v>0</c:v>
                </c:pt>
                <c:pt idx="3">
                  <c:v>0</c:v>
                </c:pt>
                <c:pt idx="4">
                  <c:v>0</c:v>
                </c:pt>
                <c:pt idx="5">
                  <c:v>0</c:v>
                </c:pt>
                <c:pt idx="6">
                  <c:v>0</c:v>
                </c:pt>
                <c:pt idx="7">
                  <c:v>0</c:v>
                </c:pt>
                <c:pt idx="8">
                  <c:v>3777790</c:v>
                </c:pt>
                <c:pt idx="9">
                  <c:v>3777790</c:v>
                </c:pt>
                <c:pt idx="10">
                  <c:v>5065680</c:v>
                </c:pt>
                <c:pt idx="11">
                  <c:v>7013360</c:v>
                </c:pt>
                <c:pt idx="12">
                  <c:v>7496030</c:v>
                </c:pt>
                <c:pt idx="13">
                  <c:v>7434320</c:v>
                </c:pt>
                <c:pt idx="14">
                  <c:v>7560594</c:v>
                </c:pt>
                <c:pt idx="15">
                  <c:v>7537789.5499999998</c:v>
                </c:pt>
                <c:pt idx="16">
                  <c:v>7543864</c:v>
                </c:pt>
                <c:pt idx="17">
                  <c:v>7387256.9100000001</c:v>
                </c:pt>
                <c:pt idx="18">
                  <c:v>8033453.8099999996</c:v>
                </c:pt>
                <c:pt idx="19">
                  <c:v>7387308.3499999996</c:v>
                </c:pt>
                <c:pt idx="20" formatCode="#,##0.00">
                  <c:v>6988078.7400000002</c:v>
                </c:pt>
                <c:pt idx="21" formatCode="#,##0.00">
                  <c:v>4431359.83</c:v>
                </c:pt>
              </c:numCache>
            </c:numRef>
          </c:val>
          <c:extLst>
            <c:ext xmlns:c16="http://schemas.microsoft.com/office/drawing/2014/chart" uri="{C3380CC4-5D6E-409C-BE32-E72D297353CC}">
              <c16:uniqueId val="{00000008-0BF1-40F9-9E50-61A7C6A1247C}"/>
            </c:ext>
          </c:extLst>
        </c:ser>
        <c:dLbls>
          <c:showLegendKey val="0"/>
          <c:showVal val="0"/>
          <c:showCatName val="0"/>
          <c:showSerName val="0"/>
          <c:showPercent val="0"/>
          <c:showBubbleSize val="0"/>
        </c:dLbls>
        <c:gapWidth val="150"/>
        <c:shape val="box"/>
        <c:axId val="112306432"/>
        <c:axId val="112312320"/>
        <c:axId val="0"/>
      </c:bar3DChart>
      <c:catAx>
        <c:axId val="112306432"/>
        <c:scaling>
          <c:orientation val="minMax"/>
        </c:scaling>
        <c:delete val="0"/>
        <c:axPos val="b"/>
        <c:numFmt formatCode="General" sourceLinked="1"/>
        <c:majorTickMark val="out"/>
        <c:minorTickMark val="none"/>
        <c:tickLblPos val="nextTo"/>
        <c:crossAx val="112312320"/>
        <c:crosses val="autoZero"/>
        <c:auto val="1"/>
        <c:lblAlgn val="ctr"/>
        <c:lblOffset val="100"/>
        <c:noMultiLvlLbl val="0"/>
      </c:catAx>
      <c:valAx>
        <c:axId val="112312320"/>
        <c:scaling>
          <c:orientation val="minMax"/>
        </c:scaling>
        <c:delete val="0"/>
        <c:axPos val="l"/>
        <c:majorGridlines/>
        <c:numFmt formatCode="General" sourceLinked="1"/>
        <c:majorTickMark val="out"/>
        <c:minorTickMark val="none"/>
        <c:tickLblPos val="nextTo"/>
        <c:crossAx val="112306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EVOLUCIÓN DEL ESTADO DE INGRESOS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0"/>
          <c:tx>
            <c:strRef>
              <c:f>'comparativa ingresos desde 1998'!$A$5</c:f>
              <c:strCache>
                <c:ptCount val="1"/>
                <c:pt idx="0">
                  <c:v>CAPITULOS</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val>
          <c:extLst>
            <c:ext xmlns:c16="http://schemas.microsoft.com/office/drawing/2014/chart" uri="{C3380CC4-5D6E-409C-BE32-E72D297353CC}">
              <c16:uniqueId val="{00000000-84B5-431E-A06F-DB61EE516AC4}"/>
            </c:ext>
          </c:extLst>
        </c:ser>
        <c:ser>
          <c:idx val="2"/>
          <c:order val="1"/>
          <c:tx>
            <c:strRef>
              <c:f>'comparativa ingresos desde 1998'!$A$6</c:f>
              <c:strCache>
                <c:ptCount val="1"/>
                <c:pt idx="0">
                  <c:v>Capítulo 3: Tasas,Precios Públicos y Otros I.</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1998'!$B$6:$W$6</c:f>
              <c:numCache>
                <c:formatCode>#,##0.00\ "€"</c:formatCode>
                <c:ptCount val="22"/>
                <c:pt idx="0">
                  <c:v>1892034.1855684973</c:v>
                </c:pt>
                <c:pt idx="1">
                  <c:v>2309695.5272679194</c:v>
                </c:pt>
                <c:pt idx="2">
                  <c:v>3222332.4077746929</c:v>
                </c:pt>
                <c:pt idx="3">
                  <c:v>3536509.9707908118</c:v>
                </c:pt>
                <c:pt idx="4">
                  <c:v>4538809.9499957934</c:v>
                </c:pt>
                <c:pt idx="5">
                  <c:v>6736907.9999519195</c:v>
                </c:pt>
                <c:pt idx="6">
                  <c:v>7379110.9889053172</c:v>
                </c:pt>
                <c:pt idx="7">
                  <c:v>7621124</c:v>
                </c:pt>
                <c:pt idx="8">
                  <c:v>8269280</c:v>
                </c:pt>
                <c:pt idx="9">
                  <c:v>8769620</c:v>
                </c:pt>
                <c:pt idx="10">
                  <c:v>9189890</c:v>
                </c:pt>
                <c:pt idx="11">
                  <c:v>9390010</c:v>
                </c:pt>
                <c:pt idx="12">
                  <c:v>9161800</c:v>
                </c:pt>
                <c:pt idx="13">
                  <c:v>15200852</c:v>
                </c:pt>
                <c:pt idx="14">
                  <c:v>14029966</c:v>
                </c:pt>
                <c:pt idx="15">
                  <c:v>14029966</c:v>
                </c:pt>
                <c:pt idx="16">
                  <c:v>15200852</c:v>
                </c:pt>
                <c:pt idx="17">
                  <c:v>15230106</c:v>
                </c:pt>
                <c:pt idx="18">
                  <c:v>15688974.619999999</c:v>
                </c:pt>
                <c:pt idx="19">
                  <c:v>15906079.609999999</c:v>
                </c:pt>
                <c:pt idx="20" formatCode="#,##0.00">
                  <c:v>17871360</c:v>
                </c:pt>
                <c:pt idx="21" formatCode="#,##0.00">
                  <c:v>16785817.050000001</c:v>
                </c:pt>
              </c:numCache>
            </c:numRef>
          </c:val>
          <c:extLst>
            <c:ext xmlns:c16="http://schemas.microsoft.com/office/drawing/2014/chart" uri="{C3380CC4-5D6E-409C-BE32-E72D297353CC}">
              <c16:uniqueId val="{00000001-84B5-431E-A06F-DB61EE516AC4}"/>
            </c:ext>
          </c:extLst>
        </c:ser>
        <c:ser>
          <c:idx val="3"/>
          <c:order val="2"/>
          <c:tx>
            <c:strRef>
              <c:f>'comparativa ingresos desde 1998'!$A$7</c:f>
              <c:strCache>
                <c:ptCount val="1"/>
                <c:pt idx="0">
                  <c:v>Capítulo 4: Transferencias Corrientes</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1998'!$B$7:$W$7</c:f>
              <c:numCache>
                <c:formatCode>#,##0.00\ "€"</c:formatCode>
                <c:ptCount val="22"/>
                <c:pt idx="0">
                  <c:v>23153658.811438464</c:v>
                </c:pt>
                <c:pt idx="1">
                  <c:v>25367284.66337312</c:v>
                </c:pt>
                <c:pt idx="2">
                  <c:v>29145015.205606241</c:v>
                </c:pt>
                <c:pt idx="3">
                  <c:v>32315223.997211304</c:v>
                </c:pt>
                <c:pt idx="4">
                  <c:v>35531515.259997837</c:v>
                </c:pt>
                <c:pt idx="5">
                  <c:v>45095636.999987982</c:v>
                </c:pt>
                <c:pt idx="6">
                  <c:v>50850320.00889498</c:v>
                </c:pt>
                <c:pt idx="7">
                  <c:v>57223259</c:v>
                </c:pt>
                <c:pt idx="8">
                  <c:v>61339510</c:v>
                </c:pt>
                <c:pt idx="9">
                  <c:v>66196080</c:v>
                </c:pt>
                <c:pt idx="10">
                  <c:v>72163590</c:v>
                </c:pt>
                <c:pt idx="11">
                  <c:v>77575670</c:v>
                </c:pt>
                <c:pt idx="12">
                  <c:v>76665680</c:v>
                </c:pt>
                <c:pt idx="13">
                  <c:v>62722326</c:v>
                </c:pt>
                <c:pt idx="14">
                  <c:v>63744495</c:v>
                </c:pt>
                <c:pt idx="15">
                  <c:v>63744495</c:v>
                </c:pt>
                <c:pt idx="16">
                  <c:v>62722326</c:v>
                </c:pt>
                <c:pt idx="17">
                  <c:v>68436489</c:v>
                </c:pt>
                <c:pt idx="18">
                  <c:v>74226146.230000004</c:v>
                </c:pt>
                <c:pt idx="19">
                  <c:v>75946857.969999999</c:v>
                </c:pt>
                <c:pt idx="20" formatCode="#,##0.00">
                  <c:v>75056767</c:v>
                </c:pt>
                <c:pt idx="21" formatCode="#,##0.00">
                  <c:v>79401096.939999998</c:v>
                </c:pt>
              </c:numCache>
            </c:numRef>
          </c:val>
          <c:extLst>
            <c:ext xmlns:c16="http://schemas.microsoft.com/office/drawing/2014/chart" uri="{C3380CC4-5D6E-409C-BE32-E72D297353CC}">
              <c16:uniqueId val="{00000002-84B5-431E-A06F-DB61EE516AC4}"/>
            </c:ext>
          </c:extLst>
        </c:ser>
        <c:ser>
          <c:idx val="0"/>
          <c:order val="3"/>
          <c:tx>
            <c:strRef>
              <c:f>'comparativa ingresos desde 1998'!$A$8</c:f>
              <c:strCache>
                <c:ptCount val="1"/>
                <c:pt idx="0">
                  <c:v>Capítulo 5: Ingresos Patrimoniales</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1998'!$B$8:$W$8</c:f>
              <c:numCache>
                <c:formatCode>#,##0.00\ "€"</c:formatCode>
                <c:ptCount val="22"/>
                <c:pt idx="0">
                  <c:v>37262.750471794505</c:v>
                </c:pt>
                <c:pt idx="1">
                  <c:v>36421.33352565721</c:v>
                </c:pt>
                <c:pt idx="2">
                  <c:v>120202.42087675646</c:v>
                </c:pt>
                <c:pt idx="3">
                  <c:v>210354.23653432381</c:v>
                </c:pt>
                <c:pt idx="4">
                  <c:v>230000</c:v>
                </c:pt>
                <c:pt idx="5">
                  <c:v>253000</c:v>
                </c:pt>
                <c:pt idx="6">
                  <c:v>286000</c:v>
                </c:pt>
                <c:pt idx="7">
                  <c:v>311000</c:v>
                </c:pt>
                <c:pt idx="8">
                  <c:v>336000</c:v>
                </c:pt>
                <c:pt idx="9">
                  <c:v>354000</c:v>
                </c:pt>
                <c:pt idx="10">
                  <c:v>364620</c:v>
                </c:pt>
                <c:pt idx="11">
                  <c:v>395000</c:v>
                </c:pt>
                <c:pt idx="12">
                  <c:v>395000</c:v>
                </c:pt>
                <c:pt idx="13">
                  <c:v>460000</c:v>
                </c:pt>
                <c:pt idx="14">
                  <c:v>708000</c:v>
                </c:pt>
                <c:pt idx="15">
                  <c:v>708000</c:v>
                </c:pt>
                <c:pt idx="16">
                  <c:v>460000</c:v>
                </c:pt>
                <c:pt idx="17">
                  <c:v>255000</c:v>
                </c:pt>
                <c:pt idx="18">
                  <c:v>295000</c:v>
                </c:pt>
                <c:pt idx="19">
                  <c:v>405000</c:v>
                </c:pt>
                <c:pt idx="20" formatCode="#,##0.00">
                  <c:v>457000</c:v>
                </c:pt>
                <c:pt idx="21" formatCode="#,##0.00">
                  <c:v>407000</c:v>
                </c:pt>
              </c:numCache>
            </c:numRef>
          </c:val>
          <c:extLst>
            <c:ext xmlns:c16="http://schemas.microsoft.com/office/drawing/2014/chart" uri="{C3380CC4-5D6E-409C-BE32-E72D297353CC}">
              <c16:uniqueId val="{00000003-84B5-431E-A06F-DB61EE516AC4}"/>
            </c:ext>
          </c:extLst>
        </c:ser>
        <c:ser>
          <c:idx val="4"/>
          <c:order val="4"/>
          <c:tx>
            <c:strRef>
              <c:f>'comparativa ingresos desde 1998'!$A$9</c:f>
              <c:strCache>
                <c:ptCount val="1"/>
                <c:pt idx="0">
                  <c:v>Capítulo 6: Enajenación de Inversiones Reales</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1998'!$B$9:$W$9</c:f>
              <c:numCache>
                <c:formatCode>#,##0.00\ "€"</c:formatCode>
                <c:ptCount val="22"/>
                <c:pt idx="0">
                  <c:v>0</c:v>
                </c:pt>
                <c:pt idx="1">
                  <c:v>0</c:v>
                </c:pt>
                <c:pt idx="2">
                  <c:v>0</c:v>
                </c:pt>
                <c:pt idx="3">
                  <c:v>0</c:v>
                </c:pt>
                <c:pt idx="4">
                  <c:v>0</c:v>
                </c:pt>
                <c:pt idx="5">
                  <c:v>0</c:v>
                </c:pt>
                <c:pt idx="6">
                  <c:v>0</c:v>
                </c:pt>
                <c:pt idx="7">
                  <c:v>6000</c:v>
                </c:pt>
                <c:pt idx="8">
                  <c:v>6000</c:v>
                </c:pt>
                <c:pt idx="9">
                  <c:v>12000</c:v>
                </c:pt>
                <c:pt idx="10">
                  <c:v>12360</c:v>
                </c:pt>
                <c:pt idx="11">
                  <c:v>0</c:v>
                </c:pt>
                <c:pt idx="12">
                  <c:v>0</c:v>
                </c:pt>
                <c:pt idx="13">
                  <c:v>0</c:v>
                </c:pt>
                <c:pt idx="14">
                  <c:v>0</c:v>
                </c:pt>
                <c:pt idx="15">
                  <c:v>0</c:v>
                </c:pt>
                <c:pt idx="16">
                  <c:v>0</c:v>
                </c:pt>
                <c:pt idx="17">
                  <c:v>0</c:v>
                </c:pt>
                <c:pt idx="18">
                  <c:v>0</c:v>
                </c:pt>
                <c:pt idx="19">
                  <c:v>0</c:v>
                </c:pt>
                <c:pt idx="20" formatCode="#,##0.00">
                  <c:v>0</c:v>
                </c:pt>
                <c:pt idx="21" formatCode="#,##0.00">
                  <c:v>0</c:v>
                </c:pt>
              </c:numCache>
            </c:numRef>
          </c:val>
          <c:extLst>
            <c:ext xmlns:c16="http://schemas.microsoft.com/office/drawing/2014/chart" uri="{C3380CC4-5D6E-409C-BE32-E72D297353CC}">
              <c16:uniqueId val="{00000004-84B5-431E-A06F-DB61EE516AC4}"/>
            </c:ext>
          </c:extLst>
        </c:ser>
        <c:ser>
          <c:idx val="5"/>
          <c:order val="5"/>
          <c:tx>
            <c:strRef>
              <c:f>'comparativa ingresos desde 1998'!$A$10</c:f>
              <c:strCache>
                <c:ptCount val="1"/>
                <c:pt idx="0">
                  <c:v>Capítulo 7: Transferencias de Capital</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1998'!$B$10:$W$10</c:f>
              <c:numCache>
                <c:formatCode>#,##0.00\ "€"</c:formatCode>
                <c:ptCount val="22"/>
                <c:pt idx="0">
                  <c:v>53803406.446455836</c:v>
                </c:pt>
                <c:pt idx="1">
                  <c:v>19983652.470760763</c:v>
                </c:pt>
                <c:pt idx="2">
                  <c:v>0</c:v>
                </c:pt>
                <c:pt idx="3">
                  <c:v>4086882.3098097197</c:v>
                </c:pt>
                <c:pt idx="4">
                  <c:v>1851537.9899751181</c:v>
                </c:pt>
                <c:pt idx="5">
                  <c:v>2900000</c:v>
                </c:pt>
                <c:pt idx="6">
                  <c:v>1920201.0024881901</c:v>
                </c:pt>
                <c:pt idx="7">
                  <c:v>0</c:v>
                </c:pt>
                <c:pt idx="8">
                  <c:v>23496750</c:v>
                </c:pt>
                <c:pt idx="9">
                  <c:v>9777790</c:v>
                </c:pt>
                <c:pt idx="10">
                  <c:v>5065680</c:v>
                </c:pt>
                <c:pt idx="11">
                  <c:v>11954830</c:v>
                </c:pt>
                <c:pt idx="12">
                  <c:v>11954830</c:v>
                </c:pt>
                <c:pt idx="13">
                  <c:v>6598847</c:v>
                </c:pt>
                <c:pt idx="14">
                  <c:v>6598850</c:v>
                </c:pt>
                <c:pt idx="15">
                  <c:v>6598850</c:v>
                </c:pt>
                <c:pt idx="16">
                  <c:v>6598847</c:v>
                </c:pt>
                <c:pt idx="17">
                  <c:v>6898847</c:v>
                </c:pt>
                <c:pt idx="18">
                  <c:v>7264050.5499999998</c:v>
                </c:pt>
                <c:pt idx="19">
                  <c:v>8698846.8200000003</c:v>
                </c:pt>
                <c:pt idx="20" formatCode="#,##0.00">
                  <c:v>11598910</c:v>
                </c:pt>
                <c:pt idx="21" formatCode="#,##0.00">
                  <c:v>5226910</c:v>
                </c:pt>
              </c:numCache>
            </c:numRef>
          </c:val>
          <c:extLst>
            <c:ext xmlns:c16="http://schemas.microsoft.com/office/drawing/2014/chart" uri="{C3380CC4-5D6E-409C-BE32-E72D297353CC}">
              <c16:uniqueId val="{00000005-84B5-431E-A06F-DB61EE516AC4}"/>
            </c:ext>
          </c:extLst>
        </c:ser>
        <c:ser>
          <c:idx val="6"/>
          <c:order val="6"/>
          <c:tx>
            <c:strRef>
              <c:f>'comparativa ingresos desde 1998'!$A$11</c:f>
              <c:strCache>
                <c:ptCount val="1"/>
                <c:pt idx="0">
                  <c:v>Capítulo 8: Activos Financieros</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1998'!$B$11:$W$11</c:f>
              <c:numCache>
                <c:formatCode>#,##0.00\ "€"</c:formatCode>
                <c:ptCount val="22"/>
                <c:pt idx="0">
                  <c:v>0</c:v>
                </c:pt>
                <c:pt idx="1">
                  <c:v>0</c:v>
                </c:pt>
                <c:pt idx="2">
                  <c:v>21861188.603608478</c:v>
                </c:pt>
                <c:pt idx="3">
                  <c:v>0</c:v>
                </c:pt>
                <c:pt idx="4">
                  <c:v>0</c:v>
                </c:pt>
                <c:pt idx="5">
                  <c:v>0</c:v>
                </c:pt>
                <c:pt idx="6">
                  <c:v>0</c:v>
                </c:pt>
                <c:pt idx="7">
                  <c:v>0</c:v>
                </c:pt>
                <c:pt idx="8">
                  <c:v>0</c:v>
                </c:pt>
                <c:pt idx="9">
                  <c:v>20877530</c:v>
                </c:pt>
                <c:pt idx="10">
                  <c:v>3500000</c:v>
                </c:pt>
                <c:pt idx="11">
                  <c:v>2223560</c:v>
                </c:pt>
                <c:pt idx="12">
                  <c:v>3500000</c:v>
                </c:pt>
                <c:pt idx="13">
                  <c:v>2223560</c:v>
                </c:pt>
                <c:pt idx="14">
                  <c:v>3500000</c:v>
                </c:pt>
                <c:pt idx="15">
                  <c:v>3500000</c:v>
                </c:pt>
                <c:pt idx="16">
                  <c:v>2223560</c:v>
                </c:pt>
                <c:pt idx="17">
                  <c:v>0</c:v>
                </c:pt>
                <c:pt idx="18">
                  <c:v>0</c:v>
                </c:pt>
                <c:pt idx="19">
                  <c:v>89843</c:v>
                </c:pt>
                <c:pt idx="20" formatCode="#,##0.00">
                  <c:v>4642604</c:v>
                </c:pt>
                <c:pt idx="21" formatCode="#,##0.00">
                  <c:v>4370431.53</c:v>
                </c:pt>
              </c:numCache>
            </c:numRef>
          </c:val>
          <c:extLst>
            <c:ext xmlns:c16="http://schemas.microsoft.com/office/drawing/2014/chart" uri="{C3380CC4-5D6E-409C-BE32-E72D297353CC}">
              <c16:uniqueId val="{00000006-84B5-431E-A06F-DB61EE516AC4}"/>
            </c:ext>
          </c:extLst>
        </c:ser>
        <c:ser>
          <c:idx val="7"/>
          <c:order val="7"/>
          <c:tx>
            <c:strRef>
              <c:f>'comparativa ingresos desde 1998'!$A$12</c:f>
              <c:strCache>
                <c:ptCount val="1"/>
                <c:pt idx="0">
                  <c:v>Capítulo 9: Pasivos Financieros</c:v>
                </c:pt>
              </c:strCache>
            </c:strRef>
          </c:tx>
          <c:invertIfNegative val="0"/>
          <c:cat>
            <c:numRef>
              <c:f>'comparativa ingresos desde 1998'!$B$5:$W$5</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'comparativa ingresos desde 1998'!$B$12:$W$12</c:f>
              <c:numCache>
                <c:formatCode>#,##0.00\ "€"</c:formatCode>
                <c:ptCount val="22"/>
                <c:pt idx="0">
                  <c:v>0</c:v>
                </c:pt>
                <c:pt idx="1">
                  <c:v>0</c:v>
                </c:pt>
                <c:pt idx="2">
                  <c:v>601012.10438378225</c:v>
                </c:pt>
                <c:pt idx="3">
                  <c:v>30110706.429627493</c:v>
                </c:pt>
                <c:pt idx="4">
                  <c:v>26444532.589941464</c:v>
                </c:pt>
                <c:pt idx="5">
                  <c:v>14183885.000000002</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formatCode="#,##0.00">
                  <c:v>0</c:v>
                </c:pt>
                <c:pt idx="21" formatCode="#,##0.00">
                  <c:v>0</c:v>
                </c:pt>
              </c:numCache>
            </c:numRef>
          </c:val>
          <c:extLst>
            <c:ext xmlns:c16="http://schemas.microsoft.com/office/drawing/2014/chart" uri="{C3380CC4-5D6E-409C-BE32-E72D297353CC}">
              <c16:uniqueId val="{00000007-84B5-431E-A06F-DB61EE516AC4}"/>
            </c:ext>
          </c:extLst>
        </c:ser>
        <c:dLbls>
          <c:showLegendKey val="0"/>
          <c:showVal val="0"/>
          <c:showCatName val="0"/>
          <c:showSerName val="0"/>
          <c:showPercent val="0"/>
          <c:showBubbleSize val="0"/>
        </c:dLbls>
        <c:gapWidth val="150"/>
        <c:shape val="box"/>
        <c:axId val="111979904"/>
        <c:axId val="111993984"/>
        <c:axId val="0"/>
      </c:bar3DChart>
      <c:catAx>
        <c:axId val="111979904"/>
        <c:scaling>
          <c:orientation val="minMax"/>
        </c:scaling>
        <c:delete val="0"/>
        <c:axPos val="b"/>
        <c:numFmt formatCode="General" sourceLinked="1"/>
        <c:majorTickMark val="out"/>
        <c:minorTickMark val="none"/>
        <c:tickLblPos val="nextTo"/>
        <c:crossAx val="111993984"/>
        <c:crosses val="autoZero"/>
        <c:auto val="1"/>
        <c:lblAlgn val="ctr"/>
        <c:lblOffset val="100"/>
        <c:noMultiLvlLbl val="0"/>
      </c:catAx>
      <c:valAx>
        <c:axId val="111993984"/>
        <c:scaling>
          <c:orientation val="minMax"/>
        </c:scaling>
        <c:delete val="0"/>
        <c:axPos val="l"/>
        <c:majorGridlines/>
        <c:numFmt formatCode="General" sourceLinked="1"/>
        <c:majorTickMark val="out"/>
        <c:minorTickMark val="none"/>
        <c:tickLblPos val="nextTo"/>
        <c:crossAx val="111979904"/>
        <c:crosses val="autoZero"/>
        <c:crossBetween val="between"/>
      </c:valAx>
    </c:plotArea>
    <c:legend>
      <c:legendPos val="b"/>
      <c:layout>
        <c:manualLayout>
          <c:xMode val="edge"/>
          <c:yMode val="edge"/>
          <c:x val="0.13046736690839331"/>
          <c:y val="0.62705367136370527"/>
          <c:w val="0.80491663024718341"/>
          <c:h val="0.354324354707058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7</Pages>
  <Words>1591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Manzanera, Araceli</dc:creator>
  <cp:keywords/>
  <dc:description/>
  <cp:lastModifiedBy>Peñas Pascual, Raquel</cp:lastModifiedBy>
  <cp:revision>23</cp:revision>
  <dcterms:created xsi:type="dcterms:W3CDTF">2020-03-30T08:28:00Z</dcterms:created>
  <dcterms:modified xsi:type="dcterms:W3CDTF">2020-09-11T07:25:00Z</dcterms:modified>
</cp:coreProperties>
</file>